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rPr>
          <w:rFonts w:ascii="Arial" w:hAnsi="Arial"/>
          <w:rtl w:val="0"/>
          <w:lang w:val="en-US"/>
        </w:rPr>
        <w:t>Nasopharyngeal carcinoma is the most common head and neck malignancy in Asia, specifically, the 8th most common type of cancer in Singapore for males (according to Singapore Cancer Registry). The choice of treatment is radiotherapy, with or without chemotherapy. Regional failure could manifest as cervical nodal recurrence and can be managed by irradiation or neck dissection (ND). However, re-irradiation may not be an option due to its own demerits and hence ND is often performed as salvage procedure.</w:t>
      </w:r>
      <w:r>
        <w:rPr>
          <w:rFonts w:ascii="Arial" w:hAnsi="Arial" w:hint="default"/>
          <w:rtl w:val="0"/>
          <w:lang w:val="en-US"/>
        </w:rPr>
        <w:t> </w:t>
      </w:r>
      <w:r>
        <w:rPr>
          <w:rFonts w:ascii="Arial" w:hAnsi="Arial"/>
          <w:rtl w:val="0"/>
          <w:lang w:val="en-US"/>
        </w:rPr>
        <w:t>Radical neck dissection (RND)</w:t>
      </w:r>
      <w:r>
        <w:rPr>
          <w:rFonts w:ascii="Arial" w:hAnsi="Arial" w:hint="default"/>
          <w:rtl w:val="0"/>
          <w:lang w:val="en-US"/>
        </w:rPr>
        <w:t> </w:t>
      </w:r>
      <w:r>
        <w:rPr>
          <w:rFonts w:ascii="Arial" w:hAnsi="Arial"/>
          <w:rtl w:val="0"/>
          <w:lang w:val="en-US"/>
        </w:rPr>
        <w:t>often is preferred over modified (MRND) or selective neck dissection (SND), since extra-capsular spread</w:t>
      </w:r>
      <w:r>
        <w:rPr>
          <w:rFonts w:ascii="Arial" w:hAnsi="Arial" w:hint="default"/>
          <w:rtl w:val="0"/>
          <w:lang w:val="en-US"/>
        </w:rPr>
        <w:t> </w:t>
      </w:r>
      <w:r>
        <w:rPr>
          <w:rFonts w:ascii="Arial" w:hAnsi="Arial"/>
          <w:rtl w:val="0"/>
          <w:lang w:val="en-US"/>
        </w:rPr>
        <w:t>(ECS) can be encountered</w:t>
      </w:r>
      <w:r>
        <w:rPr>
          <w:rFonts w:ascii="Arial" w:hAnsi="Arial" w:hint="default"/>
          <w:rtl w:val="0"/>
          <w:lang w:val="en-US"/>
        </w:rPr>
        <w:t> </w:t>
      </w:r>
      <w:r>
        <w:rPr>
          <w:rFonts w:ascii="Arial" w:hAnsi="Arial"/>
          <w:rtl w:val="0"/>
          <w:lang w:val="en-US"/>
        </w:rPr>
        <w:t>and is not</w:t>
      </w:r>
      <w:r>
        <w:rPr>
          <w:rFonts w:ascii="Arial" w:hAnsi="Arial" w:hint="default"/>
          <w:rtl w:val="0"/>
          <w:lang w:val="en-US"/>
        </w:rPr>
        <w:t> </w:t>
      </w:r>
      <w:r>
        <w:rPr>
          <w:rFonts w:ascii="Arial" w:hAnsi="Arial"/>
          <w:rtl w:val="0"/>
          <w:lang w:val="en-US"/>
        </w:rPr>
        <w:t>uncommon. However, with the advent of more sophisticated imaging modalities like high-resolution Magnetic Resonance Imaging, Computed Tomography and Positron Emission Tomography-CT scans, recurrence is picked up earlier, resulting in less need for a RND and a greater role for MRND.</w:t>
      </w:r>
      <w:r>
        <w:rPr>
          <w:rFonts w:ascii="Arial" w:hAnsi="Arial" w:hint="default"/>
          <w:rtl w:val="0"/>
          <w:lang w:val="en-US"/>
        </w:rPr>
        <w:t> </w:t>
      </w:r>
      <w:r>
        <w:rPr>
          <w:rFonts w:ascii="Arial" w:hAnsi="Arial"/>
          <w:rtl w:val="0"/>
          <w:lang w:val="en-US"/>
        </w:rPr>
        <w:t>With this retrospective study, the primary aim is to ascertain</w:t>
      </w:r>
      <w:r>
        <w:rPr>
          <w:rFonts w:ascii="Arial" w:hAnsi="Arial" w:hint="default"/>
          <w:rtl w:val="0"/>
          <w:lang w:val="en-US"/>
        </w:rPr>
        <w:t> </w:t>
      </w:r>
      <w:r>
        <w:rPr>
          <w:rFonts w:ascii="Arial" w:hAnsi="Arial"/>
          <w:rtl w:val="0"/>
          <w:lang w:val="en-US"/>
        </w:rPr>
        <w:t>whether</w:t>
      </w:r>
      <w:r>
        <w:rPr>
          <w:rFonts w:ascii="Arial" w:hAnsi="Arial" w:hint="default"/>
          <w:rtl w:val="0"/>
          <w:lang w:val="en-US"/>
        </w:rPr>
        <w:t> </w:t>
      </w:r>
      <w:r>
        <w:rPr>
          <w:rFonts w:ascii="Arial" w:hAnsi="Arial"/>
          <w:rtl w:val="0"/>
          <w:lang w:val="de-DE"/>
        </w:rPr>
        <w:t>MRND, as</w:t>
      </w:r>
      <w:r>
        <w:rPr>
          <w:rFonts w:ascii="Arial" w:hAnsi="Arial" w:hint="default"/>
          <w:rtl w:val="0"/>
          <w:lang w:val="en-US"/>
        </w:rPr>
        <w:t> </w:t>
      </w:r>
      <w:r>
        <w:rPr>
          <w:rFonts w:ascii="Arial" w:hAnsi="Arial"/>
          <w:rtl w:val="0"/>
          <w:lang w:val="en-US"/>
        </w:rPr>
        <w:t>opposed to</w:t>
      </w:r>
      <w:r>
        <w:rPr>
          <w:rFonts w:ascii="Arial" w:hAnsi="Arial" w:hint="default"/>
          <w:rtl w:val="0"/>
          <w:lang w:val="en-US"/>
        </w:rPr>
        <w:t> </w:t>
      </w:r>
      <w:r>
        <w:rPr>
          <w:rFonts w:ascii="Arial" w:hAnsi="Arial"/>
          <w:rtl w:val="0"/>
          <w:lang w:val="en-US"/>
        </w:rPr>
        <w:t>RND, has similar outcomes and hence, whether there</w:t>
      </w:r>
      <w:r>
        <w:rPr>
          <w:rFonts w:ascii="Arial" w:hAnsi="Arial" w:hint="default"/>
          <w:rtl w:val="0"/>
          <w:lang w:val="en-US"/>
        </w:rPr>
        <w:t> </w:t>
      </w:r>
      <w:r>
        <w:rPr>
          <w:rFonts w:ascii="Arial" w:hAnsi="Arial"/>
          <w:rtl w:val="0"/>
          <w:lang w:val="en-US"/>
        </w:rPr>
        <w:t>would be more grounds to offer a</w:t>
      </w:r>
      <w:r>
        <w:rPr>
          <w:rFonts w:ascii="Arial" w:hAnsi="Arial" w:hint="default"/>
          <w:rtl w:val="0"/>
          <w:lang w:val="en-US"/>
        </w:rPr>
        <w:t> </w:t>
      </w:r>
      <w:r>
        <w:rPr>
          <w:rFonts w:ascii="Arial" w:hAnsi="Arial"/>
          <w:rtl w:val="0"/>
          <w:lang w:val="en-US"/>
        </w:rPr>
        <w:t>less invasive procedure to achieve lower patient morbidity. The secondary aim is then</w:t>
      </w:r>
      <w:r>
        <w:rPr>
          <w:rFonts w:ascii="Arial" w:hAnsi="Arial" w:hint="default"/>
          <w:rtl w:val="0"/>
          <w:lang w:val="en-US"/>
        </w:rPr>
        <w:t> </w:t>
      </w:r>
      <w:r>
        <w:rPr>
          <w:rFonts w:ascii="Arial" w:hAnsi="Arial"/>
          <w:rtl w:val="0"/>
          <w:lang w:val="en-US"/>
        </w:rPr>
        <w:t>to investigate whether the type of primary treatment influences the histopathological features of recurrence. NPC patients</w:t>
      </w:r>
      <w:r>
        <w:rPr>
          <w:rFonts w:ascii="Arial" w:hAnsi="Arial" w:hint="default"/>
          <w:rtl w:val="0"/>
          <w:lang w:val="en-US"/>
        </w:rPr>
        <w:t> </w:t>
      </w:r>
      <w:r>
        <w:rPr>
          <w:rFonts w:ascii="Arial" w:hAnsi="Arial"/>
          <w:rtl w:val="0"/>
          <w:lang w:val="en-US"/>
        </w:rPr>
        <w:t xml:space="preserve">who underwent unilateral or bilateral neck dissection between 1994 to 2016 for histologically proven regional recurrence will be included. The type of ND performed, primary treatment mode, adjuvant treatment and pattern of recurrence </w:t>
      </w:r>
      <w:r>
        <w:rPr>
          <w:rFonts w:ascii="Arial" w:hAnsi="Arial" w:hint="default"/>
          <w:rtl w:val="0"/>
          <w:lang w:val="en-US"/>
        </w:rPr>
        <w:t> </w:t>
      </w:r>
      <w:r>
        <w:rPr>
          <w:rFonts w:ascii="Arial" w:hAnsi="Arial"/>
          <w:rtl w:val="0"/>
          <w:lang w:val="en-US"/>
        </w:rPr>
        <w:t>will be reviewed. Regional recurrence free survival (RRFS) and overall survival (OS) will be calculated using Kaplan-Meier estimate and compared. With imaging advances allowing earlier pickup rate of recurrence, MRND or SND could be an alternative salvage procedure for regional failure in selected NPC patients, allowing similar salvage rates with lesser morbidity.</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