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806" w:rsidRDefault="00696945" w:rsidP="00696945">
      <w:pPr>
        <w:jc w:val="center"/>
        <w:rPr>
          <w:rFonts w:ascii="Arial" w:hAnsi="Arial" w:cs="Arial"/>
          <w:b/>
          <w:bCs/>
          <w:sz w:val="32"/>
          <w:lang w:val="en-GB"/>
        </w:rPr>
      </w:pPr>
      <w:r>
        <w:rPr>
          <w:rFonts w:ascii="Arial" w:hAnsi="Arial" w:cs="Arial"/>
          <w:b/>
          <w:bCs/>
          <w:sz w:val="32"/>
          <w:lang w:val="en-GB"/>
        </w:rPr>
        <w:t>A</w:t>
      </w:r>
      <w:r w:rsidRPr="00696945">
        <w:rPr>
          <w:rFonts w:ascii="Arial" w:hAnsi="Arial" w:cs="Arial"/>
          <w:b/>
          <w:bCs/>
          <w:sz w:val="32"/>
          <w:lang w:val="en-GB"/>
        </w:rPr>
        <w:t>tomic-level perspective on the functionality of nanoalloy catalysts inside</w:t>
      </w:r>
      <w:r>
        <w:rPr>
          <w:rFonts w:ascii="Arial" w:hAnsi="Arial" w:cs="Arial"/>
          <w:b/>
          <w:bCs/>
          <w:sz w:val="32"/>
          <w:lang w:val="en-GB"/>
        </w:rPr>
        <w:t xml:space="preserve"> operating</w:t>
      </w:r>
      <w:r w:rsidRPr="00696945">
        <w:rPr>
          <w:rFonts w:ascii="Arial" w:hAnsi="Arial" w:cs="Arial"/>
          <w:b/>
          <w:bCs/>
          <w:sz w:val="32"/>
          <w:lang w:val="en-GB"/>
        </w:rPr>
        <w:t xml:space="preserve"> fuel cells by combined in operando </w:t>
      </w:r>
      <w:r>
        <w:rPr>
          <w:rFonts w:ascii="Arial" w:hAnsi="Arial" w:cs="Arial"/>
          <w:b/>
          <w:bCs/>
          <w:sz w:val="32"/>
          <w:lang w:val="en-GB"/>
        </w:rPr>
        <w:t xml:space="preserve">high energy </w:t>
      </w:r>
      <w:r w:rsidRPr="00696945">
        <w:rPr>
          <w:rFonts w:ascii="Arial" w:hAnsi="Arial" w:cs="Arial"/>
          <w:b/>
          <w:bCs/>
          <w:sz w:val="32"/>
          <w:lang w:val="en-GB"/>
        </w:rPr>
        <w:t>x-ray spectroscopy and total scattering</w:t>
      </w:r>
    </w:p>
    <w:p w:rsidR="00696945" w:rsidRPr="00696945" w:rsidRDefault="00696945">
      <w:pPr>
        <w:rPr>
          <w:rFonts w:ascii="Arial" w:hAnsi="Arial" w:cs="Arial"/>
        </w:rPr>
      </w:pPr>
    </w:p>
    <w:p w:rsidR="00696945" w:rsidRDefault="00696945" w:rsidP="00F42324">
      <w:pPr>
        <w:pStyle w:val="Heading2"/>
        <w:rPr>
          <w:rFonts w:ascii="Arial" w:hAnsi="Arial" w:cs="Arial"/>
          <w:i/>
          <w:vertAlign w:val="superscript"/>
        </w:rPr>
      </w:pPr>
      <w:r>
        <w:rPr>
          <w:rFonts w:ascii="Arial" w:hAnsi="Arial" w:cs="Arial"/>
        </w:rPr>
        <w:t>Yazan Maswadeh</w:t>
      </w:r>
    </w:p>
    <w:p w:rsidR="00FD352A" w:rsidRPr="00FD352A" w:rsidRDefault="00FD352A" w:rsidP="00696945">
      <w:pPr>
        <w:pStyle w:val="Heading3"/>
        <w:rPr>
          <w:rFonts w:ascii="Arial" w:hAnsi="Arial" w:cs="Arial"/>
        </w:rPr>
      </w:pPr>
      <w:r>
        <w:rPr>
          <w:rFonts w:ascii="Arial" w:hAnsi="Arial" w:cs="Arial"/>
          <w:i/>
          <w:color w:val="0000FF"/>
          <w:szCs w:val="20"/>
          <w:u w:val="single"/>
        </w:rPr>
        <w:t xml:space="preserve">E-mail: </w:t>
      </w:r>
      <w:r w:rsidR="00696945">
        <w:rPr>
          <w:rFonts w:ascii="Arial" w:hAnsi="Arial" w:cs="Arial"/>
          <w:i/>
          <w:color w:val="0000FF"/>
          <w:szCs w:val="20"/>
          <w:u w:val="single"/>
        </w:rPr>
        <w:t>maswa1y@cmich.edu</w:t>
      </w:r>
    </w:p>
    <w:p w:rsidR="00696945" w:rsidRDefault="00696945" w:rsidP="00696945">
      <w:pPr>
        <w:pStyle w:val="BodyText"/>
        <w:rPr>
          <w:rFonts w:ascii="Arial" w:hAnsi="Arial" w:cs="Arial"/>
        </w:rPr>
      </w:pPr>
    </w:p>
    <w:p w:rsidR="00261F90" w:rsidRPr="00F42324" w:rsidRDefault="00261F90" w:rsidP="00F42324">
      <w:pPr>
        <w:pStyle w:val="BodyText"/>
        <w:spacing w:line="360" w:lineRule="auto"/>
        <w:ind w:firstLine="720"/>
        <w:rPr>
          <w:rFonts w:ascii="Arial" w:hAnsi="Arial" w:cs="Arial"/>
          <w:color w:val="171717" w:themeColor="background2" w:themeShade="1A"/>
          <w:sz w:val="22"/>
          <w:szCs w:val="18"/>
        </w:rPr>
      </w:pPr>
      <w:r w:rsidRPr="00F42324">
        <w:rPr>
          <w:rFonts w:ascii="Arial" w:hAnsi="Arial" w:cs="Arial"/>
          <w:color w:val="171717" w:themeColor="background2" w:themeShade="1A"/>
          <w:sz w:val="22"/>
          <w:szCs w:val="18"/>
        </w:rPr>
        <w:t>Abstract: The activity and stability of nanoalloy catalysts for the chemical reactions driving devices for clean energy conversion, such as the oxygen reduction reaction (ORR), depend critically on optimizing the composition, surface area and phase type of the nanoalloys, including the bonding interactions between the con</w:t>
      </w:r>
      <w:bookmarkStart w:id="0" w:name="_GoBack"/>
      <w:bookmarkEnd w:id="0"/>
      <w:r w:rsidRPr="00F42324">
        <w:rPr>
          <w:rFonts w:ascii="Arial" w:hAnsi="Arial" w:cs="Arial"/>
          <w:color w:val="171717" w:themeColor="background2" w:themeShade="1A"/>
          <w:sz w:val="22"/>
          <w:szCs w:val="18"/>
        </w:rPr>
        <w:t xml:space="preserve">stituent atoms, for the harsh operating conditions inside the devices. We present results from </w:t>
      </w:r>
      <w:r w:rsidRPr="00F42324">
        <w:rPr>
          <w:rFonts w:ascii="Arial" w:hAnsi="Arial" w:cs="Arial"/>
          <w:i/>
          <w:iCs/>
          <w:color w:val="171717" w:themeColor="background2" w:themeShade="1A"/>
          <w:sz w:val="22"/>
          <w:szCs w:val="18"/>
        </w:rPr>
        <w:t>in operando</w:t>
      </w:r>
      <w:r w:rsidRPr="00F42324">
        <w:rPr>
          <w:rFonts w:ascii="Arial" w:hAnsi="Arial" w:cs="Arial"/>
          <w:color w:val="171717" w:themeColor="background2" w:themeShade="1A"/>
          <w:sz w:val="22"/>
          <w:szCs w:val="18"/>
        </w:rPr>
        <w:t xml:space="preserve"> high-energy x-ray diffraction (HE-XRD) study coupled by atomic pair distributio</w:t>
      </w:r>
      <w:r w:rsidR="00C579F2" w:rsidRPr="00F42324">
        <w:rPr>
          <w:rFonts w:ascii="Arial" w:hAnsi="Arial" w:cs="Arial"/>
          <w:color w:val="171717" w:themeColor="background2" w:themeShade="1A"/>
          <w:sz w:val="22"/>
          <w:szCs w:val="18"/>
        </w:rPr>
        <w:t xml:space="preserve">n function (PDF) analysis and </w:t>
      </w:r>
      <w:r w:rsidRPr="00F42324">
        <w:rPr>
          <w:rFonts w:ascii="Arial" w:hAnsi="Arial" w:cs="Arial"/>
          <w:color w:val="171717" w:themeColor="background2" w:themeShade="1A"/>
          <w:sz w:val="22"/>
          <w:szCs w:val="18"/>
        </w:rPr>
        <w:t>energy dispersive</w:t>
      </w:r>
      <w:r w:rsidR="00C579F2" w:rsidRPr="00F42324">
        <w:rPr>
          <w:rFonts w:ascii="Arial" w:hAnsi="Arial" w:cs="Arial"/>
          <w:color w:val="171717" w:themeColor="background2" w:themeShade="1A"/>
          <w:sz w:val="22"/>
          <w:szCs w:val="18"/>
        </w:rPr>
        <w:t xml:space="preserve"> x-ray</w:t>
      </w:r>
      <w:r w:rsidRPr="00F42324">
        <w:rPr>
          <w:rFonts w:ascii="Arial" w:hAnsi="Arial" w:cs="Arial"/>
          <w:color w:val="171717" w:themeColor="background2" w:themeShade="1A"/>
          <w:sz w:val="22"/>
          <w:szCs w:val="18"/>
        </w:rPr>
        <w:t xml:space="preserve"> spectroscopy (EDS) on the concurrent atomic-scale changes and decay of the ORR activity of </w:t>
      </w:r>
      <w:proofErr w:type="spellStart"/>
      <w:r w:rsidRPr="00F42324">
        <w:rPr>
          <w:rFonts w:ascii="Arial" w:hAnsi="Arial" w:cs="Arial"/>
          <w:color w:val="171717" w:themeColor="background2" w:themeShade="1A"/>
          <w:sz w:val="22"/>
          <w:szCs w:val="18"/>
        </w:rPr>
        <w:t>Pd</w:t>
      </w:r>
      <w:proofErr w:type="spellEnd"/>
      <w:r w:rsidRPr="00F42324">
        <w:rPr>
          <w:rFonts w:ascii="Arial" w:hAnsi="Arial" w:cs="Arial"/>
          <w:color w:val="171717" w:themeColor="background2" w:themeShade="1A"/>
          <w:sz w:val="22"/>
          <w:szCs w:val="18"/>
        </w:rPr>
        <w:t>-</w:t>
      </w:r>
      <w:r w:rsidR="00C579F2" w:rsidRPr="00F42324">
        <w:rPr>
          <w:rFonts w:ascii="Arial" w:hAnsi="Arial" w:cs="Arial"/>
          <w:color w:val="171717" w:themeColor="background2" w:themeShade="1A"/>
          <w:sz w:val="22"/>
          <w:szCs w:val="18"/>
        </w:rPr>
        <w:t>Sn, Pt-Ni-Cu</w:t>
      </w:r>
      <w:r w:rsidRPr="00F42324">
        <w:rPr>
          <w:rFonts w:ascii="Arial" w:hAnsi="Arial" w:cs="Arial"/>
          <w:color w:val="171717" w:themeColor="background2" w:themeShade="1A"/>
          <w:sz w:val="22"/>
          <w:szCs w:val="18"/>
        </w:rPr>
        <w:t xml:space="preserve"> nanoalloy catalysts as they function at the cathode of a proton exchang</w:t>
      </w:r>
      <w:r w:rsidR="00C579F2" w:rsidRPr="00F42324">
        <w:rPr>
          <w:rFonts w:ascii="Arial" w:hAnsi="Arial" w:cs="Arial"/>
          <w:color w:val="171717" w:themeColor="background2" w:themeShade="1A"/>
          <w:sz w:val="22"/>
          <w:szCs w:val="18"/>
        </w:rPr>
        <w:t>e membrane fuel cell (PEMFC).</w:t>
      </w:r>
    </w:p>
    <w:p w:rsidR="00696945" w:rsidRPr="00F42324" w:rsidRDefault="00696945" w:rsidP="00F42324">
      <w:pPr>
        <w:pStyle w:val="BodyText"/>
        <w:spacing w:line="360" w:lineRule="auto"/>
        <w:ind w:firstLine="720"/>
        <w:rPr>
          <w:rFonts w:ascii="Arial" w:hAnsi="Arial" w:cs="Arial"/>
          <w:color w:val="171717" w:themeColor="background2" w:themeShade="1A"/>
          <w:sz w:val="22"/>
          <w:szCs w:val="18"/>
        </w:rPr>
      </w:pPr>
      <w:r w:rsidRPr="00F42324">
        <w:rPr>
          <w:rFonts w:ascii="Arial" w:hAnsi="Arial" w:cs="Arial"/>
          <w:color w:val="171717" w:themeColor="background2" w:themeShade="1A"/>
          <w:sz w:val="22"/>
          <w:szCs w:val="18"/>
        </w:rPr>
        <w:t>Fuel cells are a viable alternative to mankind’s dependence on fossil fuels. Unfortunately, fuel cells are not yet on the market, mostly due to the lack of efficient and affordable catalysts for the sluggish chemical reactions driving cells’ operation, such as the oxygen reduction reaction (ORR).  Indeed, several families of ORR catalysts, for the most part metallic alloy nanoparticle (NPs), have proven excellent in terms of both activity and durability when te</w:t>
      </w:r>
      <w:r w:rsidR="008B0BB4" w:rsidRPr="00F42324">
        <w:rPr>
          <w:rFonts w:ascii="Arial" w:hAnsi="Arial" w:cs="Arial"/>
          <w:color w:val="171717" w:themeColor="background2" w:themeShade="1A"/>
          <w:sz w:val="22"/>
          <w:szCs w:val="18"/>
        </w:rPr>
        <w:t>sted in a lab, i.e. ex situ [1-3</w:t>
      </w:r>
      <w:r w:rsidRPr="00F42324">
        <w:rPr>
          <w:rFonts w:ascii="Arial" w:hAnsi="Arial" w:cs="Arial"/>
          <w:color w:val="171717" w:themeColor="background2" w:themeShade="1A"/>
          <w:sz w:val="22"/>
          <w:szCs w:val="18"/>
        </w:rPr>
        <w:t>]. However, when put in action inside fuel cells, the very promising nanoalloy catalysts produced so far are often found much less useful than expected. That is because under actual operating conditions, metallic alloy NPs undergo specific atomic-level changes that inflict significant losses in their ORR activity.  Despite extensive research over the past two decades [</w:t>
      </w:r>
      <w:r w:rsidR="008B0BB4" w:rsidRPr="00F42324">
        <w:rPr>
          <w:rFonts w:ascii="Arial" w:hAnsi="Arial" w:cs="Arial"/>
          <w:color w:val="171717" w:themeColor="background2" w:themeShade="1A"/>
          <w:sz w:val="22"/>
          <w:szCs w:val="18"/>
        </w:rPr>
        <w:t>4, 5</w:t>
      </w:r>
      <w:r w:rsidRPr="00F42324">
        <w:rPr>
          <w:rFonts w:ascii="Arial" w:hAnsi="Arial" w:cs="Arial"/>
          <w:color w:val="171717" w:themeColor="background2" w:themeShade="1A"/>
          <w:sz w:val="22"/>
          <w:szCs w:val="18"/>
        </w:rPr>
        <w:t xml:space="preserve">], the driving force, scope and dynamics of the changes remain poorly understood and so the resulting ORR activity losses remain difficult to limit.  Here we address the problem by studying the atomic-level evolution of noble metal-based nanoalloy catalysts for ORR as they function at the cathode of an actual proton exchange membrane fuel cell (PEMFC). </w:t>
      </w:r>
      <w:proofErr w:type="gramStart"/>
      <w:r w:rsidRPr="00F42324">
        <w:rPr>
          <w:rFonts w:ascii="Arial" w:hAnsi="Arial" w:cs="Arial"/>
          <w:color w:val="171717" w:themeColor="background2" w:themeShade="1A"/>
          <w:sz w:val="22"/>
          <w:szCs w:val="18"/>
        </w:rPr>
        <w:t>In particular, we</w:t>
      </w:r>
      <w:proofErr w:type="gramEnd"/>
      <w:r w:rsidRPr="00F42324">
        <w:rPr>
          <w:rFonts w:ascii="Arial" w:hAnsi="Arial" w:cs="Arial"/>
          <w:color w:val="171717" w:themeColor="background2" w:themeShade="1A"/>
          <w:sz w:val="22"/>
          <w:szCs w:val="18"/>
        </w:rPr>
        <w:t xml:space="preserve"> use 1-min time and µm-sized space resolved energy dispersive x-ray spectroscopy (EDS) and total x-ray scattering to obtain precise information about the chemical composition, geometric surface area, phase content, 3D arrangement and strength of interaction between the constituent atoms of the nanoalloys. Besides, we evaluate the utilization of the nanoalloy catalysts by measuring variations in their </w:t>
      </w:r>
      <w:r w:rsidRPr="00F42324">
        <w:rPr>
          <w:rFonts w:ascii="Arial" w:hAnsi="Arial" w:cs="Arial"/>
          <w:color w:val="171717" w:themeColor="background2" w:themeShade="1A"/>
          <w:sz w:val="22"/>
          <w:szCs w:val="18"/>
        </w:rPr>
        <w:lastRenderedPageBreak/>
        <w:t xml:space="preserve">chemical composition and mass distribution over the PEMFC cathode. Concurrently, we measure the current output of the cell that reflects the ORR activity of the nanoalloys. Experimental x-ray data show that the atomic-level changes of nanoalloys can occur simultaneously over different time frames, ranging from minutes-long structural phase transitions to hours-long alterations in chemical composition, and in multiple dimensions, ranging from repetitive sub-Å atomic displacements to nm-sized particle growth. Besides, x-ray data reveal considerable exchange of atomic species between individual nanoalloy particles, that is, effective mass transport across the PEMFC cathode. Experimental catalytic data show that the ORR activity of nanoalloys closely tracks the atomic-level changes they undergo during the PEMFC operation. Remarkably, though triggered electrochemically, the changes are not merely driven by differences in the reduction potential and surface energy of metallic species forming the nanoalloys. The energy of nanoalloy formation and inherent ability of metallic species in NPs to rearrange fast in search of energetically </w:t>
      </w:r>
      <w:proofErr w:type="spellStart"/>
      <w:r w:rsidRPr="00F42324">
        <w:rPr>
          <w:rFonts w:ascii="Arial" w:hAnsi="Arial" w:cs="Arial"/>
          <w:color w:val="171717" w:themeColor="background2" w:themeShade="1A"/>
          <w:sz w:val="22"/>
          <w:szCs w:val="18"/>
        </w:rPr>
        <w:t>favorable</w:t>
      </w:r>
      <w:proofErr w:type="spellEnd"/>
      <w:r w:rsidRPr="00F42324">
        <w:rPr>
          <w:rFonts w:ascii="Arial" w:hAnsi="Arial" w:cs="Arial"/>
          <w:color w:val="171717" w:themeColor="background2" w:themeShade="1A"/>
          <w:sz w:val="22"/>
          <w:szCs w:val="18"/>
        </w:rPr>
        <w:t xml:space="preserve"> configurations also play an important, if not dominant, role in determining the trajectory of atomic-level changes and resulting ORR activity losses experiences by nanoalloy particles functioning inside PEMFCs. Hence, we argue that efforts to produce nanoalloys that are both highly active and stable catalysts for the ORR in fuel cells, </w:t>
      </w:r>
      <w:proofErr w:type="gramStart"/>
      <w:r w:rsidRPr="00F42324">
        <w:rPr>
          <w:rFonts w:ascii="Arial" w:hAnsi="Arial" w:cs="Arial"/>
          <w:color w:val="171717" w:themeColor="background2" w:themeShade="1A"/>
          <w:sz w:val="22"/>
          <w:szCs w:val="18"/>
        </w:rPr>
        <w:t>in particular PEMFCs</w:t>
      </w:r>
      <w:proofErr w:type="gramEnd"/>
      <w:r w:rsidRPr="00F42324">
        <w:rPr>
          <w:rFonts w:ascii="Arial" w:hAnsi="Arial" w:cs="Arial"/>
          <w:color w:val="171717" w:themeColor="background2" w:themeShade="1A"/>
          <w:sz w:val="22"/>
          <w:szCs w:val="18"/>
        </w:rPr>
        <w:t xml:space="preserve">, should pay special attention to inhibiting not only inter- but also the intra-particle diffusion of atomic species forming the nanoalloys, including cooperative nanophase transitions and local atomic relaxation. As an example, we show that the stability of nanoalloys can be improved and so their ORR activity retained by giving the nanoalloy particles a shape that is consistent with the innate 3D atomic arrangement in the nanoalloys, that is, the nanoalloy’s innate phase type. Ultimately, we demonstrate the </w:t>
      </w:r>
      <w:proofErr w:type="gramStart"/>
      <w:r w:rsidRPr="00F42324">
        <w:rPr>
          <w:rFonts w:ascii="Arial" w:hAnsi="Arial" w:cs="Arial"/>
          <w:color w:val="171717" w:themeColor="background2" w:themeShade="1A"/>
          <w:sz w:val="22"/>
          <w:szCs w:val="18"/>
        </w:rPr>
        <w:t>great potential</w:t>
      </w:r>
      <w:proofErr w:type="gramEnd"/>
      <w:r w:rsidRPr="00F42324">
        <w:rPr>
          <w:rFonts w:ascii="Arial" w:hAnsi="Arial" w:cs="Arial"/>
          <w:color w:val="171717" w:themeColor="background2" w:themeShade="1A"/>
          <w:sz w:val="22"/>
          <w:szCs w:val="18"/>
        </w:rPr>
        <w:t xml:space="preserve"> of combined in operando EDS and PDF studies as a tool for guiding the effort to produce more efficient and affordable </w:t>
      </w:r>
      <w:proofErr w:type="spellStart"/>
      <w:r w:rsidRPr="00F42324">
        <w:rPr>
          <w:rFonts w:ascii="Arial" w:hAnsi="Arial" w:cs="Arial"/>
          <w:color w:val="171717" w:themeColor="background2" w:themeShade="1A"/>
          <w:sz w:val="22"/>
          <w:szCs w:val="18"/>
        </w:rPr>
        <w:t>nanocatalysts</w:t>
      </w:r>
      <w:proofErr w:type="spellEnd"/>
      <w:r w:rsidRPr="00F42324">
        <w:rPr>
          <w:rFonts w:ascii="Arial" w:hAnsi="Arial" w:cs="Arial"/>
          <w:color w:val="171717" w:themeColor="background2" w:themeShade="1A"/>
          <w:sz w:val="22"/>
          <w:szCs w:val="18"/>
        </w:rPr>
        <w:t xml:space="preserve"> for energy related applications.   </w:t>
      </w:r>
    </w:p>
    <w:p w:rsidR="00696945" w:rsidRDefault="00696945" w:rsidP="00696945">
      <w:pPr>
        <w:pStyle w:val="BodyText"/>
        <w:rPr>
          <w:rFonts w:ascii="Arial" w:hAnsi="Arial" w:cs="Arial"/>
        </w:rPr>
      </w:pPr>
    </w:p>
    <w:p w:rsidR="00F42324" w:rsidRDefault="00F42324" w:rsidP="00D05A65">
      <w:pPr>
        <w:pStyle w:val="BodyText"/>
        <w:jc w:val="center"/>
        <w:rPr>
          <w:rFonts w:ascii="Arial" w:hAnsi="Arial" w:cs="Arial"/>
        </w:rPr>
      </w:pPr>
    </w:p>
    <w:p w:rsidR="00F42324" w:rsidRDefault="00F42324">
      <w:pPr>
        <w:pStyle w:val="BodyText"/>
        <w:rPr>
          <w:rFonts w:ascii="Arial" w:hAnsi="Arial" w:cs="Arial"/>
          <w:b/>
          <w:sz w:val="20"/>
          <w:lang w:val="en-US"/>
        </w:rPr>
      </w:pPr>
    </w:p>
    <w:p w:rsidR="00C83806" w:rsidRPr="00D05A65" w:rsidRDefault="001927DA">
      <w:pPr>
        <w:pStyle w:val="BodyText"/>
        <w:rPr>
          <w:rFonts w:ascii="Arial" w:hAnsi="Arial" w:cs="Arial"/>
          <w:sz w:val="20"/>
        </w:rPr>
      </w:pPr>
      <w:r w:rsidRPr="00D05A65">
        <w:rPr>
          <w:rFonts w:ascii="Arial" w:hAnsi="Arial" w:cs="Arial"/>
          <w:b/>
          <w:sz w:val="20"/>
          <w:lang w:val="en-US"/>
        </w:rPr>
        <w:t>Acknowledgments</w:t>
      </w:r>
      <w:r w:rsidR="008B0BB4">
        <w:rPr>
          <w:rFonts w:ascii="Arial" w:hAnsi="Arial" w:cs="Arial"/>
          <w:sz w:val="20"/>
        </w:rPr>
        <w:t xml:space="preserve"> </w:t>
      </w:r>
      <w:r w:rsidR="008B0BB4" w:rsidRPr="008B0BB4">
        <w:rPr>
          <w:rFonts w:ascii="Arial" w:hAnsi="Arial" w:cs="Arial"/>
          <w:sz w:val="20"/>
        </w:rPr>
        <w:t>This work was supported by DOE-BES Grant. Also, it used resources of the Advanced Photon Source at the Argonne National Laboratory provid</w:t>
      </w:r>
      <w:r w:rsidR="008B0BB4">
        <w:rPr>
          <w:rFonts w:ascii="Arial" w:hAnsi="Arial" w:cs="Arial"/>
          <w:sz w:val="20"/>
        </w:rPr>
        <w:t>ed by the DOE Office of Science.</w:t>
      </w:r>
    </w:p>
    <w:p w:rsidR="00F42324" w:rsidRPr="00D05A65" w:rsidRDefault="00F42324">
      <w:pPr>
        <w:pStyle w:val="BodyText"/>
        <w:rPr>
          <w:rFonts w:ascii="Arial" w:hAnsi="Arial" w:cs="Arial"/>
          <w:sz w:val="20"/>
        </w:rPr>
      </w:pPr>
    </w:p>
    <w:p w:rsidR="00665971" w:rsidRDefault="00D2735F" w:rsidP="00696945">
      <w:pPr>
        <w:pStyle w:val="BodyText"/>
        <w:rPr>
          <w:rFonts w:ascii="Arial" w:hAnsi="Arial" w:cs="Arial"/>
          <w:sz w:val="20"/>
        </w:rPr>
      </w:pPr>
      <w:r w:rsidRPr="00D05A65">
        <w:rPr>
          <w:rFonts w:ascii="Arial" w:hAnsi="Arial" w:cs="Arial"/>
          <w:b/>
          <w:sz w:val="20"/>
        </w:rPr>
        <w:t>References</w:t>
      </w:r>
      <w:r w:rsidR="00C83806" w:rsidRPr="00D05A65">
        <w:rPr>
          <w:rFonts w:ascii="Arial" w:hAnsi="Arial" w:cs="Arial"/>
          <w:sz w:val="20"/>
        </w:rPr>
        <w:t xml:space="preserve"> </w:t>
      </w:r>
    </w:p>
    <w:p w:rsidR="00696945" w:rsidRPr="00696945" w:rsidRDefault="00696945" w:rsidP="00696945">
      <w:pPr>
        <w:pStyle w:val="BodyText"/>
        <w:rPr>
          <w:rFonts w:ascii="Arial" w:hAnsi="Arial" w:cs="Arial"/>
          <w:sz w:val="20"/>
        </w:rPr>
      </w:pPr>
      <w:r>
        <w:rPr>
          <w:rFonts w:ascii="Arial" w:hAnsi="Arial" w:cs="Arial"/>
          <w:sz w:val="20"/>
        </w:rPr>
        <w:t>1</w:t>
      </w:r>
      <w:r w:rsidRPr="00696945">
        <w:rPr>
          <w:rFonts w:ascii="Arial" w:hAnsi="Arial" w:cs="Arial"/>
          <w:sz w:val="20"/>
        </w:rPr>
        <w:t>.</w:t>
      </w:r>
      <w:r>
        <w:rPr>
          <w:rFonts w:ascii="Arial" w:hAnsi="Arial" w:cs="Arial"/>
          <w:sz w:val="20"/>
        </w:rPr>
        <w:t xml:space="preserve"> </w:t>
      </w:r>
      <w:r w:rsidRPr="00696945">
        <w:rPr>
          <w:rFonts w:ascii="Arial" w:hAnsi="Arial" w:cs="Arial"/>
          <w:sz w:val="20"/>
        </w:rPr>
        <w:t xml:space="preserve">V. R. </w:t>
      </w:r>
      <w:proofErr w:type="spellStart"/>
      <w:r w:rsidRPr="00696945">
        <w:rPr>
          <w:rFonts w:ascii="Arial" w:hAnsi="Arial" w:cs="Arial"/>
          <w:sz w:val="20"/>
        </w:rPr>
        <w:t>Stamenkovic</w:t>
      </w:r>
      <w:proofErr w:type="spellEnd"/>
      <w:r w:rsidRPr="00696945">
        <w:rPr>
          <w:rFonts w:ascii="Arial" w:hAnsi="Arial" w:cs="Arial"/>
          <w:sz w:val="20"/>
        </w:rPr>
        <w:t xml:space="preserve">, B. S. </w:t>
      </w:r>
      <w:proofErr w:type="spellStart"/>
      <w:r w:rsidRPr="00696945">
        <w:rPr>
          <w:rFonts w:ascii="Arial" w:hAnsi="Arial" w:cs="Arial"/>
          <w:sz w:val="20"/>
        </w:rPr>
        <w:t>Mun</w:t>
      </w:r>
      <w:proofErr w:type="spellEnd"/>
      <w:r w:rsidRPr="00696945">
        <w:rPr>
          <w:rFonts w:ascii="Arial" w:hAnsi="Arial" w:cs="Arial"/>
          <w:sz w:val="20"/>
        </w:rPr>
        <w:t xml:space="preserve">, M. </w:t>
      </w:r>
      <w:proofErr w:type="spellStart"/>
      <w:r w:rsidRPr="00696945">
        <w:rPr>
          <w:rFonts w:ascii="Arial" w:hAnsi="Arial" w:cs="Arial"/>
          <w:sz w:val="20"/>
        </w:rPr>
        <w:t>Arenz</w:t>
      </w:r>
      <w:proofErr w:type="spellEnd"/>
      <w:r w:rsidRPr="00696945">
        <w:rPr>
          <w:rFonts w:ascii="Arial" w:hAnsi="Arial" w:cs="Arial"/>
          <w:sz w:val="20"/>
        </w:rPr>
        <w:t xml:space="preserve">, K. J. J. Mayrhofer, C. A. Lucas, G. Wang, P. N. Ross and N. N. </w:t>
      </w:r>
      <w:proofErr w:type="spellStart"/>
      <w:r w:rsidRPr="00696945">
        <w:rPr>
          <w:rFonts w:ascii="Arial" w:hAnsi="Arial" w:cs="Arial"/>
          <w:sz w:val="20"/>
        </w:rPr>
        <w:t>Markovic</w:t>
      </w:r>
      <w:proofErr w:type="spellEnd"/>
      <w:r w:rsidRPr="00696945">
        <w:rPr>
          <w:rFonts w:ascii="Arial" w:hAnsi="Arial" w:cs="Arial"/>
          <w:sz w:val="20"/>
        </w:rPr>
        <w:t xml:space="preserve"> Nat. Mater. 6 (2007) 241.</w:t>
      </w:r>
    </w:p>
    <w:p w:rsidR="00696945" w:rsidRPr="00696945" w:rsidRDefault="00696945" w:rsidP="00696945">
      <w:pPr>
        <w:pStyle w:val="BodyText"/>
        <w:rPr>
          <w:rFonts w:ascii="Arial" w:hAnsi="Arial" w:cs="Arial"/>
          <w:sz w:val="20"/>
        </w:rPr>
      </w:pPr>
      <w:r>
        <w:rPr>
          <w:rFonts w:ascii="Arial" w:hAnsi="Arial" w:cs="Arial"/>
          <w:sz w:val="20"/>
        </w:rPr>
        <w:t>2</w:t>
      </w:r>
      <w:r w:rsidRPr="00696945">
        <w:rPr>
          <w:rFonts w:ascii="Arial" w:hAnsi="Arial" w:cs="Arial"/>
          <w:sz w:val="20"/>
        </w:rPr>
        <w:t>.</w:t>
      </w:r>
      <w:r>
        <w:rPr>
          <w:rFonts w:ascii="Arial" w:hAnsi="Arial" w:cs="Arial"/>
          <w:sz w:val="20"/>
        </w:rPr>
        <w:t xml:space="preserve"> </w:t>
      </w:r>
      <w:r w:rsidRPr="00696945">
        <w:rPr>
          <w:rFonts w:ascii="Arial" w:hAnsi="Arial" w:cs="Arial"/>
          <w:sz w:val="20"/>
        </w:rPr>
        <w:t>E. Antolini, J. R. C. Salgado and E. R. Gonzales J. Power Sources 16 (2006) 957.</w:t>
      </w:r>
    </w:p>
    <w:p w:rsidR="00696945" w:rsidRPr="00696945" w:rsidRDefault="00696945" w:rsidP="00696945">
      <w:pPr>
        <w:pStyle w:val="BodyText"/>
        <w:rPr>
          <w:rFonts w:ascii="Arial" w:hAnsi="Arial" w:cs="Arial"/>
          <w:sz w:val="20"/>
        </w:rPr>
      </w:pPr>
      <w:r>
        <w:rPr>
          <w:rFonts w:ascii="Arial" w:hAnsi="Arial" w:cs="Arial"/>
          <w:sz w:val="20"/>
        </w:rPr>
        <w:t>3</w:t>
      </w:r>
      <w:r w:rsidRPr="00696945">
        <w:rPr>
          <w:rFonts w:ascii="Arial" w:hAnsi="Arial" w:cs="Arial"/>
          <w:sz w:val="20"/>
        </w:rPr>
        <w:t>.</w:t>
      </w:r>
      <w:r>
        <w:rPr>
          <w:rFonts w:ascii="Arial" w:hAnsi="Arial" w:cs="Arial"/>
          <w:sz w:val="20"/>
        </w:rPr>
        <w:t xml:space="preserve"> </w:t>
      </w:r>
      <w:r w:rsidRPr="00696945">
        <w:rPr>
          <w:rFonts w:ascii="Arial" w:hAnsi="Arial" w:cs="Arial"/>
          <w:sz w:val="20"/>
        </w:rPr>
        <w:t xml:space="preserve">J. Zhang, K. Sasaki, E. Sutter and R.R. </w:t>
      </w:r>
      <w:proofErr w:type="spellStart"/>
      <w:r w:rsidRPr="00696945">
        <w:rPr>
          <w:rFonts w:ascii="Arial" w:hAnsi="Arial" w:cs="Arial"/>
          <w:sz w:val="20"/>
        </w:rPr>
        <w:t>Adzic</w:t>
      </w:r>
      <w:proofErr w:type="spellEnd"/>
      <w:r w:rsidRPr="00696945">
        <w:rPr>
          <w:rFonts w:ascii="Arial" w:hAnsi="Arial" w:cs="Arial"/>
          <w:sz w:val="20"/>
        </w:rPr>
        <w:t xml:space="preserve"> Science 315 (2007) 220. </w:t>
      </w:r>
    </w:p>
    <w:p w:rsidR="00696945" w:rsidRPr="00696945" w:rsidRDefault="00696945" w:rsidP="00696945">
      <w:pPr>
        <w:pStyle w:val="BodyText"/>
        <w:rPr>
          <w:rFonts w:ascii="Arial" w:hAnsi="Arial" w:cs="Arial"/>
          <w:sz w:val="20"/>
        </w:rPr>
      </w:pPr>
      <w:r>
        <w:rPr>
          <w:rFonts w:ascii="Arial" w:hAnsi="Arial" w:cs="Arial"/>
          <w:sz w:val="20"/>
        </w:rPr>
        <w:t>4</w:t>
      </w:r>
      <w:r w:rsidRPr="00696945">
        <w:rPr>
          <w:rFonts w:ascii="Arial" w:hAnsi="Arial" w:cs="Arial"/>
          <w:sz w:val="20"/>
        </w:rPr>
        <w:t>.</w:t>
      </w:r>
      <w:r>
        <w:rPr>
          <w:rFonts w:ascii="Arial" w:hAnsi="Arial" w:cs="Arial"/>
          <w:sz w:val="20"/>
        </w:rPr>
        <w:t xml:space="preserve"> </w:t>
      </w:r>
      <w:r w:rsidRPr="00696945">
        <w:rPr>
          <w:rFonts w:ascii="Arial" w:hAnsi="Arial" w:cs="Arial"/>
          <w:sz w:val="20"/>
        </w:rPr>
        <w:t xml:space="preserve">B. R. </w:t>
      </w:r>
      <w:proofErr w:type="spellStart"/>
      <w:r w:rsidRPr="00696945">
        <w:rPr>
          <w:rFonts w:ascii="Arial" w:hAnsi="Arial" w:cs="Arial"/>
          <w:sz w:val="20"/>
        </w:rPr>
        <w:t>Cuenya</w:t>
      </w:r>
      <w:proofErr w:type="spellEnd"/>
      <w:r w:rsidRPr="00696945">
        <w:rPr>
          <w:rFonts w:ascii="Arial" w:hAnsi="Arial" w:cs="Arial"/>
          <w:sz w:val="20"/>
        </w:rPr>
        <w:t xml:space="preserve"> and F. </w:t>
      </w:r>
      <w:proofErr w:type="spellStart"/>
      <w:r w:rsidRPr="00696945">
        <w:rPr>
          <w:rFonts w:ascii="Arial" w:hAnsi="Arial" w:cs="Arial"/>
          <w:sz w:val="20"/>
        </w:rPr>
        <w:t>Behafarid</w:t>
      </w:r>
      <w:proofErr w:type="spellEnd"/>
      <w:r w:rsidRPr="00696945">
        <w:rPr>
          <w:rFonts w:ascii="Arial" w:hAnsi="Arial" w:cs="Arial"/>
          <w:sz w:val="20"/>
        </w:rPr>
        <w:t xml:space="preserve"> Surf. Sci. Rep. 70 (2015) 135.</w:t>
      </w:r>
    </w:p>
    <w:p w:rsidR="00696945" w:rsidRPr="00696945" w:rsidRDefault="00696945" w:rsidP="00F42324">
      <w:pPr>
        <w:pStyle w:val="BodyText"/>
        <w:rPr>
          <w:rFonts w:ascii="Arial" w:hAnsi="Arial" w:cs="Arial"/>
          <w:sz w:val="20"/>
        </w:rPr>
      </w:pPr>
      <w:r>
        <w:rPr>
          <w:rFonts w:ascii="Arial" w:hAnsi="Arial" w:cs="Arial"/>
          <w:sz w:val="20"/>
        </w:rPr>
        <w:t>5</w:t>
      </w:r>
      <w:r w:rsidRPr="00696945">
        <w:rPr>
          <w:rFonts w:ascii="Arial" w:hAnsi="Arial" w:cs="Arial"/>
          <w:sz w:val="20"/>
        </w:rPr>
        <w:t>.</w:t>
      </w:r>
      <w:r>
        <w:rPr>
          <w:rFonts w:ascii="Arial" w:hAnsi="Arial" w:cs="Arial"/>
          <w:sz w:val="20"/>
        </w:rPr>
        <w:t xml:space="preserve"> </w:t>
      </w:r>
      <w:r w:rsidRPr="00696945">
        <w:rPr>
          <w:rFonts w:ascii="Arial" w:hAnsi="Arial" w:cs="Arial"/>
          <w:sz w:val="20"/>
        </w:rPr>
        <w:t xml:space="preserve">A. </w:t>
      </w:r>
      <w:proofErr w:type="spellStart"/>
      <w:r w:rsidRPr="00696945">
        <w:rPr>
          <w:rFonts w:ascii="Arial" w:hAnsi="Arial" w:cs="Arial"/>
          <w:sz w:val="20"/>
        </w:rPr>
        <w:t>Rabis</w:t>
      </w:r>
      <w:proofErr w:type="spellEnd"/>
      <w:r w:rsidRPr="00696945">
        <w:rPr>
          <w:rFonts w:ascii="Arial" w:hAnsi="Arial" w:cs="Arial"/>
          <w:sz w:val="20"/>
        </w:rPr>
        <w:t xml:space="preserve">, P. </w:t>
      </w:r>
      <w:proofErr w:type="spellStart"/>
      <w:r w:rsidRPr="00696945">
        <w:rPr>
          <w:rFonts w:ascii="Arial" w:hAnsi="Arial" w:cs="Arial"/>
          <w:sz w:val="20"/>
        </w:rPr>
        <w:t>Roudriguez</w:t>
      </w:r>
      <w:proofErr w:type="spellEnd"/>
      <w:r w:rsidRPr="00696945">
        <w:rPr>
          <w:rFonts w:ascii="Arial" w:hAnsi="Arial" w:cs="Arial"/>
          <w:sz w:val="20"/>
        </w:rPr>
        <w:t xml:space="preserve"> and Th. J. Schmidt ACS </w:t>
      </w:r>
      <w:proofErr w:type="spellStart"/>
      <w:r w:rsidRPr="00696945">
        <w:rPr>
          <w:rFonts w:ascii="Arial" w:hAnsi="Arial" w:cs="Arial"/>
          <w:sz w:val="20"/>
        </w:rPr>
        <w:t>Catal</w:t>
      </w:r>
      <w:proofErr w:type="spellEnd"/>
      <w:r w:rsidRPr="00696945">
        <w:rPr>
          <w:rFonts w:ascii="Arial" w:hAnsi="Arial" w:cs="Arial"/>
          <w:sz w:val="20"/>
        </w:rPr>
        <w:t>. 2 (2012) 804.</w:t>
      </w:r>
    </w:p>
    <w:sectPr w:rsidR="00696945" w:rsidRPr="00696945" w:rsidSect="00ED1B1D">
      <w:pgSz w:w="12240" w:h="15840" w:code="1"/>
      <w:pgMar w:top="1440" w:right="1440" w:bottom="1440" w:left="172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64365"/>
    <w:multiLevelType w:val="multilevel"/>
    <w:tmpl w:val="5146436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FFFFFF7C"/>
    <w:multiLevelType w:val="singleLevel"/>
    <w:tmpl w:val="FFFFFF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FFFFF7D"/>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FFFFF7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FFFFF7F"/>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FFFFF8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FFFF81"/>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FFFFF8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FFFFF83"/>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FFFF8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FFFFF89"/>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doNotValidateAgainstSchema/>
  <w:doNotDemarcateInvalidXml/>
  <w:compat>
    <w:spaceForUL/>
    <w:doNotLeaveBackslashAlon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MxNzGzsDS0MDQxMDVT0lEKTi0uzszPAykwqgUA0hS+WSwAAAA="/>
  </w:docVars>
  <w:rsids>
    <w:rsidRoot w:val="00172A27"/>
    <w:rsid w:val="000210CA"/>
    <w:rsid w:val="000451BA"/>
    <w:rsid w:val="00091EA3"/>
    <w:rsid w:val="00167EEA"/>
    <w:rsid w:val="001927DA"/>
    <w:rsid w:val="00196F17"/>
    <w:rsid w:val="001C2A4E"/>
    <w:rsid w:val="001C6F4D"/>
    <w:rsid w:val="001D0C90"/>
    <w:rsid w:val="001F0962"/>
    <w:rsid w:val="00261F90"/>
    <w:rsid w:val="00287F83"/>
    <w:rsid w:val="002A4E01"/>
    <w:rsid w:val="002B2B38"/>
    <w:rsid w:val="003008D1"/>
    <w:rsid w:val="003277DA"/>
    <w:rsid w:val="00361739"/>
    <w:rsid w:val="00362CFB"/>
    <w:rsid w:val="003C279F"/>
    <w:rsid w:val="0041799D"/>
    <w:rsid w:val="004436EF"/>
    <w:rsid w:val="004D6A50"/>
    <w:rsid w:val="00503672"/>
    <w:rsid w:val="00566130"/>
    <w:rsid w:val="00572E90"/>
    <w:rsid w:val="005D02C1"/>
    <w:rsid w:val="005D3ECD"/>
    <w:rsid w:val="005F7615"/>
    <w:rsid w:val="00665971"/>
    <w:rsid w:val="00696945"/>
    <w:rsid w:val="006D0749"/>
    <w:rsid w:val="0071799A"/>
    <w:rsid w:val="00737F87"/>
    <w:rsid w:val="007428DB"/>
    <w:rsid w:val="00864251"/>
    <w:rsid w:val="008B0BB4"/>
    <w:rsid w:val="008F08BB"/>
    <w:rsid w:val="00975584"/>
    <w:rsid w:val="00993030"/>
    <w:rsid w:val="009E6DA4"/>
    <w:rsid w:val="00AB3AD1"/>
    <w:rsid w:val="00AF71EF"/>
    <w:rsid w:val="00B14C56"/>
    <w:rsid w:val="00B173C7"/>
    <w:rsid w:val="00B37533"/>
    <w:rsid w:val="00B40927"/>
    <w:rsid w:val="00BB0CC6"/>
    <w:rsid w:val="00C30362"/>
    <w:rsid w:val="00C4416F"/>
    <w:rsid w:val="00C579F2"/>
    <w:rsid w:val="00C662D7"/>
    <w:rsid w:val="00C83806"/>
    <w:rsid w:val="00CC0DA1"/>
    <w:rsid w:val="00D05A65"/>
    <w:rsid w:val="00D2735F"/>
    <w:rsid w:val="00D479CA"/>
    <w:rsid w:val="00D70F9D"/>
    <w:rsid w:val="00D93888"/>
    <w:rsid w:val="00DA13ED"/>
    <w:rsid w:val="00DB7D21"/>
    <w:rsid w:val="00E25F7E"/>
    <w:rsid w:val="00E731F3"/>
    <w:rsid w:val="00EC3F49"/>
    <w:rsid w:val="00ED1B1D"/>
    <w:rsid w:val="00ED43DB"/>
    <w:rsid w:val="00F01902"/>
    <w:rsid w:val="00F42324"/>
    <w:rsid w:val="00F52475"/>
    <w:rsid w:val="00F7261D"/>
    <w:rsid w:val="00FA0DA8"/>
    <w:rsid w:val="00FB6BFE"/>
    <w:rsid w:val="00FD352A"/>
    <w:rsid w:val="00FE5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636DDE42"/>
  <w15:chartTrackingRefBased/>
  <w15:docId w15:val="{A60A250D-2FDA-4A9B-A6C7-A580FB4C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qFormat="1"/>
    <w:lsdException w:name="table of figures" w:semiHidden="1"/>
    <w:lsdException w:name="envelope address" w:semiHidden="1"/>
    <w:lsdException w:name="envelope return" w:semiHidden="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lsdException w:name="FollowedHyperlink" w:semiHidden="1" w:uiPriority="99"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uiPriority="99" w:unhideWhenUsed="1"/>
    <w:lsdException w:name="HTML Address" w:semiHidden="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jc w:val="center"/>
      <w:outlineLvl w:val="0"/>
    </w:pPr>
    <w:rPr>
      <w:rFonts w:ascii="Arial" w:hAnsi="Arial" w:cs="Arial"/>
      <w:b/>
      <w:bCs/>
      <w:sz w:val="32"/>
      <w:lang w:val="en-GB"/>
    </w:rPr>
  </w:style>
  <w:style w:type="paragraph" w:styleId="Heading2">
    <w:name w:val="heading 2"/>
    <w:basedOn w:val="Normal"/>
    <w:next w:val="Normal"/>
    <w:qFormat/>
    <w:pPr>
      <w:keepNext/>
      <w:jc w:val="center"/>
      <w:outlineLvl w:val="1"/>
    </w:pPr>
    <w:rPr>
      <w:rFonts w:ascii="Times" w:hAnsi="Times"/>
      <w:lang w:val="en-GB"/>
    </w:rPr>
  </w:style>
  <w:style w:type="paragraph" w:styleId="Heading3">
    <w:name w:val="heading 3"/>
    <w:basedOn w:val="Normal"/>
    <w:next w:val="Normal"/>
    <w:link w:val="Heading3Char"/>
    <w:qFormat/>
    <w:pPr>
      <w:keepNext/>
      <w:spacing w:before="40" w:after="40"/>
      <w:jc w:val="center"/>
      <w:outlineLvl w:val="2"/>
    </w:pPr>
    <w:rPr>
      <w:sz w:val="20"/>
      <w:szCs w:val="26"/>
      <w:lang w:val="en-G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paragraph" w:styleId="ListContinue3">
    <w:name w:val="List Continue 3"/>
    <w:basedOn w:val="Normal"/>
    <w:semiHidden/>
    <w:pPr>
      <w:spacing w:after="120"/>
      <w:ind w:left="849"/>
    </w:pPr>
  </w:style>
  <w:style w:type="paragraph" w:styleId="List">
    <w:name w:val="List"/>
    <w:basedOn w:val="Normal"/>
    <w:semiHidden/>
    <w:pPr>
      <w:ind w:left="283" w:hanging="283"/>
    </w:pPr>
  </w:style>
  <w:style w:type="paragraph" w:styleId="Index7">
    <w:name w:val="index 7"/>
    <w:basedOn w:val="Normal"/>
    <w:next w:val="Normal"/>
    <w:semiHidden/>
    <w:pPr>
      <w:ind w:left="1680" w:hanging="240"/>
    </w:pPr>
  </w:style>
  <w:style w:type="paragraph" w:styleId="IndexHeading">
    <w:name w:val="index heading"/>
    <w:basedOn w:val="Normal"/>
    <w:next w:val="Index1"/>
    <w:semiHidden/>
    <w:rPr>
      <w:rFonts w:ascii="Arial" w:hAnsi="Arial" w:cs="Arial"/>
      <w:b/>
      <w:bCs/>
    </w:rPr>
  </w:style>
  <w:style w:type="paragraph" w:styleId="Salutation">
    <w:name w:val="Salutation"/>
    <w:basedOn w:val="Normal"/>
    <w:next w:val="Normal"/>
    <w:semiHidden/>
  </w:style>
  <w:style w:type="paragraph" w:styleId="Closing">
    <w:name w:val="Closing"/>
    <w:basedOn w:val="Normal"/>
    <w:semiHidden/>
    <w:pPr>
      <w:ind w:left="4252"/>
    </w:pPr>
  </w:style>
  <w:style w:type="paragraph" w:styleId="Index6">
    <w:name w:val="index 6"/>
    <w:basedOn w:val="Normal"/>
    <w:next w:val="Normal"/>
    <w:semiHidden/>
    <w:pPr>
      <w:ind w:left="1440" w:hanging="240"/>
    </w:pPr>
  </w:style>
  <w:style w:type="paragraph" w:styleId="Caption">
    <w:name w:val="caption"/>
    <w:basedOn w:val="Normal"/>
    <w:next w:val="Normal"/>
    <w:qFormat/>
    <w:pPr>
      <w:spacing w:before="80" w:after="60"/>
      <w:jc w:val="center"/>
    </w:pPr>
    <w:rPr>
      <w:sz w:val="20"/>
    </w:rPr>
  </w:style>
  <w:style w:type="paragraph" w:styleId="BodyTextIndent3">
    <w:name w:val="Body Text Indent 3"/>
    <w:basedOn w:val="Normal"/>
    <w:semiHidden/>
    <w:pPr>
      <w:spacing w:after="120"/>
      <w:ind w:left="283"/>
    </w:pPr>
    <w:rPr>
      <w:sz w:val="16"/>
      <w:szCs w:val="16"/>
    </w:rPr>
  </w:style>
  <w:style w:type="paragraph" w:styleId="BlockText">
    <w:name w:val="Block Text"/>
    <w:basedOn w:val="Normal"/>
    <w:semiHidden/>
    <w:pPr>
      <w:spacing w:after="120"/>
      <w:ind w:left="1440" w:right="1440"/>
    </w:pPr>
  </w:style>
  <w:style w:type="paragraph" w:styleId="TOC9">
    <w:name w:val="toc 9"/>
    <w:basedOn w:val="Normal"/>
    <w:next w:val="Normal"/>
    <w:semiHidden/>
    <w:pPr>
      <w:ind w:left="1920"/>
    </w:pPr>
  </w:style>
  <w:style w:type="paragraph" w:styleId="TableofFigures">
    <w:name w:val="table of figures"/>
    <w:basedOn w:val="Normal"/>
    <w:next w:val="Normal"/>
    <w:semiHidden/>
    <w:pPr>
      <w:ind w:left="480" w:hanging="480"/>
    </w:pPr>
  </w:style>
  <w:style w:type="paragraph" w:styleId="List3">
    <w:name w:val="List 3"/>
    <w:basedOn w:val="Normal"/>
    <w:semiHidden/>
    <w:pPr>
      <w:ind w:left="849" w:hanging="283"/>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fr-FR"/>
    </w:rPr>
  </w:style>
  <w:style w:type="paragraph" w:styleId="Index9">
    <w:name w:val="index 9"/>
    <w:basedOn w:val="Normal"/>
    <w:next w:val="Normal"/>
    <w:semiHidden/>
    <w:pPr>
      <w:ind w:left="2160" w:hanging="240"/>
    </w:pPr>
  </w:style>
  <w:style w:type="paragraph" w:styleId="TOC8">
    <w:name w:val="toc 8"/>
    <w:basedOn w:val="Normal"/>
    <w:next w:val="Normal"/>
    <w:semiHidden/>
    <w:pPr>
      <w:ind w:left="1680"/>
    </w:pPr>
  </w:style>
  <w:style w:type="paragraph" w:styleId="FootnoteText">
    <w:name w:val="footnote text"/>
    <w:basedOn w:val="Normal"/>
    <w:semiHidden/>
    <w:rPr>
      <w:sz w:val="20"/>
    </w:rPr>
  </w:style>
  <w:style w:type="paragraph" w:styleId="ListBullet4">
    <w:name w:val="List Bullet 4"/>
    <w:basedOn w:val="Normal"/>
    <w:semiHidden/>
    <w:pPr>
      <w:numPr>
        <w:numId w:val="1"/>
      </w:numPr>
      <w:tabs>
        <w:tab w:val="left" w:pos="1209"/>
      </w:tabs>
    </w:pPr>
  </w:style>
  <w:style w:type="paragraph" w:styleId="List2">
    <w:name w:val="List 2"/>
    <w:basedOn w:val="Normal"/>
    <w:semiHidden/>
    <w:pPr>
      <w:ind w:left="566" w:hanging="283"/>
    </w:pPr>
  </w:style>
  <w:style w:type="paragraph" w:styleId="CommentText">
    <w:name w:val="annotation text"/>
    <w:basedOn w:val="Normal"/>
    <w:link w:val="CommentTextChar"/>
    <w:semiHidden/>
    <w:rPr>
      <w:sz w:val="20"/>
    </w:rPr>
  </w:style>
  <w:style w:type="paragraph" w:styleId="Index8">
    <w:name w:val="index 8"/>
    <w:basedOn w:val="Normal"/>
    <w:next w:val="Normal"/>
    <w:semiHidden/>
    <w:pPr>
      <w:ind w:left="1920" w:hanging="240"/>
    </w:pPr>
  </w:style>
  <w:style w:type="paragraph" w:styleId="Header">
    <w:name w:val="header"/>
    <w:basedOn w:val="Normal"/>
    <w:semiHidden/>
    <w:pPr>
      <w:tabs>
        <w:tab w:val="center" w:pos="4536"/>
        <w:tab w:val="right" w:pos="9072"/>
      </w:tabs>
    </w:pPr>
  </w:style>
  <w:style w:type="paragraph" w:styleId="TOC6">
    <w:name w:val="toc 6"/>
    <w:basedOn w:val="Normal"/>
    <w:next w:val="Normal"/>
    <w:semiHidden/>
    <w:pPr>
      <w:ind w:left="1200"/>
    </w:pPr>
  </w:style>
  <w:style w:type="paragraph" w:styleId="Footer">
    <w:name w:val="footer"/>
    <w:basedOn w:val="Normal"/>
    <w:semiHidden/>
    <w:pPr>
      <w:tabs>
        <w:tab w:val="center" w:pos="4536"/>
        <w:tab w:val="right" w:pos="9072"/>
      </w:tabs>
    </w:pPr>
  </w:style>
  <w:style w:type="paragraph" w:styleId="BodyTextFirstIndent2">
    <w:name w:val="Body Text First Indent 2"/>
    <w:basedOn w:val="BodyTextIndent"/>
    <w:semiHidden/>
    <w:pPr>
      <w:ind w:firstLine="210"/>
    </w:pPr>
  </w:style>
  <w:style w:type="paragraph" w:styleId="ListBullet5">
    <w:name w:val="List Bullet 5"/>
    <w:basedOn w:val="Normal"/>
    <w:semiHidden/>
    <w:pPr>
      <w:numPr>
        <w:numId w:val="2"/>
      </w:numPr>
      <w:tabs>
        <w:tab w:val="left" w:pos="1492"/>
      </w:tabs>
    </w:pPr>
  </w:style>
  <w:style w:type="paragraph" w:styleId="E-mailSignature">
    <w:name w:val="E-mail Signature"/>
    <w:basedOn w:val="Normal"/>
    <w:semiHidden/>
  </w:style>
  <w:style w:type="paragraph" w:styleId="ListBullet3">
    <w:name w:val="List Bullet 3"/>
    <w:basedOn w:val="Normal"/>
    <w:semiHidden/>
    <w:pPr>
      <w:numPr>
        <w:numId w:val="3"/>
      </w:numPr>
      <w:tabs>
        <w:tab w:val="left" w:pos="926"/>
      </w:tabs>
    </w:pPr>
  </w:style>
  <w:style w:type="paragraph" w:styleId="HTMLAddress">
    <w:name w:val="HTML Address"/>
    <w:basedOn w:val="Normal"/>
    <w:semiHidden/>
    <w:rPr>
      <w:i/>
      <w:iCs/>
    </w:rPr>
  </w:style>
  <w:style w:type="paragraph" w:styleId="ListBullet2">
    <w:name w:val="List Bullet 2"/>
    <w:basedOn w:val="Normal"/>
    <w:semiHidden/>
    <w:pPr>
      <w:numPr>
        <w:numId w:val="4"/>
      </w:numPr>
      <w:tabs>
        <w:tab w:val="left" w:pos="643"/>
      </w:tabs>
    </w:pPr>
  </w:style>
  <w:style w:type="paragraph" w:styleId="BodyText3">
    <w:name w:val="Body Text 3"/>
    <w:basedOn w:val="Normal"/>
    <w:semiHidden/>
    <w:pPr>
      <w:spacing w:after="120"/>
    </w:pPr>
    <w:rPr>
      <w:sz w:val="16"/>
      <w:szCs w:val="16"/>
    </w:rPr>
  </w:style>
  <w:style w:type="paragraph" w:styleId="List5">
    <w:name w:val="List 5"/>
    <w:basedOn w:val="Normal"/>
    <w:semiHidden/>
    <w:pPr>
      <w:ind w:left="1415" w:hanging="283"/>
    </w:pPr>
  </w:style>
  <w:style w:type="paragraph" w:styleId="ListBullet">
    <w:name w:val="List Bullet"/>
    <w:basedOn w:val="Normal"/>
    <w:semiHidden/>
    <w:pPr>
      <w:numPr>
        <w:numId w:val="5"/>
      </w:numPr>
      <w:tabs>
        <w:tab w:val="left" w:pos="360"/>
      </w:tabs>
    </w:pPr>
  </w:style>
  <w:style w:type="paragraph" w:styleId="TableofAuthorities">
    <w:name w:val="table of authorities"/>
    <w:basedOn w:val="Normal"/>
    <w:next w:val="Normal"/>
    <w:semiHidden/>
    <w:pPr>
      <w:ind w:left="240" w:hanging="240"/>
    </w:pPr>
  </w:style>
  <w:style w:type="paragraph" w:styleId="Index2">
    <w:name w:val="index 2"/>
    <w:basedOn w:val="Normal"/>
    <w:next w:val="Normal"/>
    <w:semiHidden/>
    <w:pPr>
      <w:ind w:left="480" w:hanging="240"/>
    </w:pPr>
  </w:style>
  <w:style w:type="paragraph" w:styleId="TOC5">
    <w:name w:val="toc 5"/>
    <w:basedOn w:val="Normal"/>
    <w:next w:val="Normal"/>
    <w:semiHidden/>
    <w:pPr>
      <w:ind w:left="960"/>
    </w:pPr>
  </w:style>
  <w:style w:type="paragraph" w:styleId="EnvelopeReturn">
    <w:name w:val="envelope return"/>
    <w:basedOn w:val="Normal"/>
    <w:semiHidden/>
    <w:rPr>
      <w:rFonts w:ascii="Arial" w:hAnsi="Arial" w:cs="Arial"/>
      <w:sz w:val="20"/>
    </w:rPr>
  </w:style>
  <w:style w:type="paragraph" w:styleId="BodyTextIndent2">
    <w:name w:val="Body Text Indent 2"/>
    <w:basedOn w:val="Normal"/>
    <w:semiHidden/>
    <w:pPr>
      <w:spacing w:after="120" w:line="480" w:lineRule="auto"/>
      <w:ind w:left="283"/>
    </w:pPr>
  </w:style>
  <w:style w:type="paragraph" w:styleId="ListContinue2">
    <w:name w:val="List Continue 2"/>
    <w:basedOn w:val="Normal"/>
    <w:semiHidden/>
    <w:pPr>
      <w:spacing w:after="120"/>
      <w:ind w:left="566"/>
    </w:pPr>
  </w:style>
  <w:style w:type="paragraph" w:styleId="ListNumber5">
    <w:name w:val="List Number 5"/>
    <w:basedOn w:val="Normal"/>
    <w:semiHidden/>
    <w:pPr>
      <w:numPr>
        <w:numId w:val="6"/>
      </w:numPr>
      <w:tabs>
        <w:tab w:val="left" w:pos="1492"/>
      </w:tabs>
    </w:pPr>
  </w:style>
  <w:style w:type="paragraph" w:styleId="ListNumber3">
    <w:name w:val="List Number 3"/>
    <w:basedOn w:val="Normal"/>
    <w:semiHidden/>
    <w:pPr>
      <w:numPr>
        <w:numId w:val="7"/>
      </w:numPr>
      <w:tabs>
        <w:tab w:val="left" w:pos="926"/>
      </w:tabs>
    </w:pPr>
  </w:style>
  <w:style w:type="paragraph" w:styleId="Index4">
    <w:name w:val="index 4"/>
    <w:basedOn w:val="Normal"/>
    <w:next w:val="Normal"/>
    <w:semiHidden/>
    <w:pPr>
      <w:ind w:left="960" w:hanging="240"/>
    </w:pPr>
  </w:style>
  <w:style w:type="paragraph" w:styleId="Index1">
    <w:name w:val="index 1"/>
    <w:basedOn w:val="Normal"/>
    <w:next w:val="Normal"/>
    <w:semiHidden/>
    <w:pPr>
      <w:ind w:left="240" w:hanging="240"/>
    </w:pPr>
  </w:style>
  <w:style w:type="paragraph" w:styleId="BodyTextIndent">
    <w:name w:val="Body Text Indent"/>
    <w:basedOn w:val="Normal"/>
    <w:semiHidden/>
    <w:pPr>
      <w:spacing w:after="120"/>
      <w:ind w:left="283"/>
    </w:pPr>
  </w:style>
  <w:style w:type="paragraph" w:styleId="BodyText">
    <w:name w:val="Body Text"/>
    <w:basedOn w:val="Normal"/>
    <w:semiHidden/>
    <w:pPr>
      <w:jc w:val="both"/>
    </w:pPr>
    <w:rPr>
      <w:lang w:val="en-GB"/>
    </w:rPr>
  </w:style>
  <w:style w:type="paragraph" w:styleId="Index5">
    <w:name w:val="index 5"/>
    <w:basedOn w:val="Normal"/>
    <w:next w:val="Normal"/>
    <w:semiHidden/>
    <w:pPr>
      <w:ind w:left="1200" w:hanging="240"/>
    </w:pPr>
  </w:style>
  <w:style w:type="paragraph" w:styleId="ListNumber4">
    <w:name w:val="List Number 4"/>
    <w:basedOn w:val="Normal"/>
    <w:semiHidden/>
    <w:pPr>
      <w:numPr>
        <w:numId w:val="8"/>
      </w:numPr>
      <w:tabs>
        <w:tab w:val="left" w:pos="1209"/>
      </w:tabs>
    </w:pPr>
  </w:style>
  <w:style w:type="paragraph" w:styleId="ListNumber">
    <w:name w:val="List Number"/>
    <w:basedOn w:val="Normal"/>
    <w:semiHidden/>
    <w:pPr>
      <w:numPr>
        <w:numId w:val="9"/>
      </w:numPr>
      <w:tabs>
        <w:tab w:val="left" w:pos="360"/>
      </w:tabs>
    </w:pPr>
  </w:style>
  <w:style w:type="paragraph" w:styleId="NoteHeading">
    <w:name w:val="Note Heading"/>
    <w:basedOn w:val="Normal"/>
    <w:next w:val="Normal"/>
    <w:semiHidden/>
  </w:style>
  <w:style w:type="paragraph" w:styleId="BodyText2">
    <w:name w:val="Body Text 2"/>
    <w:basedOn w:val="Normal"/>
    <w:semiHidden/>
    <w:pPr>
      <w:numPr>
        <w:numId w:val="10"/>
      </w:numPr>
      <w:tabs>
        <w:tab w:val="clear" w:pos="720"/>
      </w:tabs>
      <w:spacing w:before="60"/>
      <w:ind w:left="284" w:hanging="284"/>
    </w:pPr>
    <w:rPr>
      <w:sz w:val="20"/>
    </w:rPr>
  </w:style>
  <w:style w:type="paragraph" w:styleId="List4">
    <w:name w:val="List 4"/>
    <w:basedOn w:val="Normal"/>
    <w:semiHidden/>
    <w:pPr>
      <w:ind w:left="1132" w:hanging="283"/>
    </w:pPr>
  </w:style>
  <w:style w:type="paragraph" w:styleId="TOAHeading">
    <w:name w:val="toa heading"/>
    <w:basedOn w:val="Normal"/>
    <w:next w:val="Normal"/>
    <w:semiHidden/>
    <w:pPr>
      <w:spacing w:before="120"/>
    </w:pPr>
    <w:rPr>
      <w:rFonts w:ascii="Arial" w:hAnsi="Arial" w:cs="Arial"/>
      <w:b/>
      <w:bCs/>
      <w:szCs w:val="24"/>
    </w:rPr>
  </w:style>
  <w:style w:type="paragraph" w:styleId="Signature">
    <w:name w:val="Signature"/>
    <w:basedOn w:val="Normal"/>
    <w:semiHidden/>
    <w:pPr>
      <w:ind w:left="4252"/>
    </w:pPr>
  </w:style>
  <w:style w:type="paragraph" w:styleId="EnvelopeAddress">
    <w:name w:val="envelope address"/>
    <w:basedOn w:val="Normal"/>
    <w:semiHidden/>
    <w:pPr>
      <w:ind w:left="2880"/>
    </w:pPr>
    <w:rPr>
      <w:rFonts w:ascii="Arial" w:hAnsi="Arial" w:cs="Arial"/>
      <w:szCs w:val="24"/>
    </w:rPr>
  </w:style>
  <w:style w:type="paragraph" w:styleId="DocumentMap">
    <w:name w:val="Document Map"/>
    <w:basedOn w:val="Normal"/>
    <w:semiHidden/>
    <w:pPr>
      <w:shd w:val="clear" w:color="auto" w:fill="000080"/>
    </w:pPr>
    <w:rPr>
      <w:rFonts w:ascii="Tahoma" w:hAnsi="Tahoma" w:cs="Tahoma"/>
    </w:rPr>
  </w:style>
  <w:style w:type="paragraph" w:styleId="TOC1">
    <w:name w:val="toc 1"/>
    <w:basedOn w:val="Normal"/>
    <w:next w:val="Normal"/>
    <w:semiHidden/>
  </w:style>
  <w:style w:type="paragraph" w:styleId="Date">
    <w:name w:val="Date"/>
    <w:basedOn w:val="Normal"/>
    <w:next w:val="Normal"/>
    <w:semiHidden/>
  </w:style>
  <w:style w:type="paragraph" w:styleId="ListNumber2">
    <w:name w:val="List Number 2"/>
    <w:basedOn w:val="Normal"/>
    <w:semiHidden/>
    <w:pPr>
      <w:numPr>
        <w:numId w:val="11"/>
      </w:numPr>
      <w:tabs>
        <w:tab w:val="left" w:pos="643"/>
      </w:tabs>
    </w:pPr>
  </w:style>
  <w:style w:type="paragraph" w:styleId="EndnoteText">
    <w:name w:val="endnote text"/>
    <w:basedOn w:val="Normal"/>
    <w:semiHidden/>
    <w:rPr>
      <w:sz w:val="20"/>
    </w:rPr>
  </w:style>
  <w:style w:type="paragraph" w:styleId="ListContinue5">
    <w:name w:val="List Continue 5"/>
    <w:basedOn w:val="Normal"/>
    <w:semiHidden/>
    <w:pPr>
      <w:spacing w:after="120"/>
      <w:ind w:left="1415"/>
    </w:pPr>
  </w:style>
  <w:style w:type="paragraph" w:styleId="ListContinue4">
    <w:name w:val="List Continue 4"/>
    <w:basedOn w:val="Normal"/>
    <w:semiHidden/>
    <w:pPr>
      <w:spacing w:after="120"/>
      <w:ind w:left="1132"/>
    </w:pPr>
  </w:style>
  <w:style w:type="paragraph" w:customStyle="1" w:styleId="Headingnonum-abstract">
    <w:name w:val="Heading_nonum-abstract"/>
    <w:basedOn w:val="Bodytext-abstract"/>
    <w:qFormat/>
    <w:pPr>
      <w:spacing w:before="240" w:after="120"/>
      <w:ind w:firstLine="0"/>
      <w:jc w:val="left"/>
    </w:pPr>
    <w:rPr>
      <w:rFonts w:ascii="Times New Roman Bold" w:hAnsi="Times New Roman Bold"/>
      <w:b/>
    </w:rPr>
  </w:style>
  <w:style w:type="paragraph" w:styleId="ListContinue">
    <w:name w:val="List Continue"/>
    <w:basedOn w:val="Normal"/>
    <w:semiHidden/>
    <w:pPr>
      <w:spacing w:after="120"/>
      <w:ind w:left="283"/>
    </w:pPr>
  </w:style>
  <w:style w:type="paragraph" w:styleId="Index3">
    <w:name w:val="index 3"/>
    <w:basedOn w:val="Normal"/>
    <w:next w:val="Normal"/>
    <w:semiHidden/>
    <w:pPr>
      <w:ind w:left="720" w:hanging="240"/>
    </w:pPr>
  </w:style>
  <w:style w:type="paragraph" w:styleId="HTMLPreformatted">
    <w:name w:val="HTML Preformatted"/>
    <w:basedOn w:val="Normal"/>
    <w:semiHidden/>
    <w:rPr>
      <w:rFonts w:ascii="Courier New" w:hAnsi="Courier New" w:cs="Courier New"/>
      <w:sz w:val="20"/>
    </w:rPr>
  </w:style>
  <w:style w:type="paragraph" w:styleId="TOC7">
    <w:name w:val="toc 7"/>
    <w:basedOn w:val="Normal"/>
    <w:next w:val="Normal"/>
    <w:semiHidden/>
    <w:pPr>
      <w:ind w:left="1440"/>
    </w:pPr>
  </w:style>
  <w:style w:type="paragraph" w:styleId="BodyTextFirstIndent">
    <w:name w:val="Body Text First Indent"/>
    <w:basedOn w:val="BodyText"/>
    <w:semiHidden/>
    <w:pPr>
      <w:spacing w:after="120"/>
      <w:ind w:firstLine="210"/>
    </w:pPr>
    <w:rPr>
      <w:lang w:val="fr-FR"/>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PlainText">
    <w:name w:val="Plain Text"/>
    <w:basedOn w:val="Normal"/>
    <w:semiHidden/>
    <w:rPr>
      <w:rFonts w:ascii="Courier New" w:hAnsi="Courier New" w:cs="Courier New"/>
      <w:sz w:val="20"/>
    </w:rPr>
  </w:style>
  <w:style w:type="paragraph" w:styleId="TOC4">
    <w:name w:val="toc 4"/>
    <w:basedOn w:val="Normal"/>
    <w:next w:val="Normal"/>
    <w:semiHidden/>
    <w:pPr>
      <w:ind w:left="72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Subtitle">
    <w:name w:val="Subtitle"/>
    <w:basedOn w:val="Normal"/>
    <w:qFormat/>
    <w:pPr>
      <w:spacing w:after="60"/>
      <w:jc w:val="center"/>
      <w:outlineLvl w:val="1"/>
    </w:pPr>
    <w:rPr>
      <w:rFonts w:ascii="Arial" w:hAnsi="Arial" w:cs="Arial"/>
      <w:szCs w:val="24"/>
    </w:rPr>
  </w:style>
  <w:style w:type="paragraph" w:styleId="TOC2">
    <w:name w:val="toc 2"/>
    <w:basedOn w:val="Normal"/>
    <w:next w:val="Normal"/>
    <w:semiHidden/>
    <w:pPr>
      <w:ind w:left="240"/>
    </w:pPr>
  </w:style>
  <w:style w:type="paragraph" w:styleId="TOC3">
    <w:name w:val="toc 3"/>
    <w:basedOn w:val="Normal"/>
    <w:next w:val="Normal"/>
    <w:semiHidden/>
    <w:pPr>
      <w:ind w:left="480"/>
    </w:pPr>
  </w:style>
  <w:style w:type="paragraph" w:customStyle="1" w:styleId="Bodytext-abstract">
    <w:name w:val="Body_text-abstract"/>
    <w:basedOn w:val="Normal"/>
    <w:qFormat/>
    <w:pPr>
      <w:ind w:firstLine="567"/>
      <w:jc w:val="both"/>
    </w:pPr>
    <w:rPr>
      <w:sz w:val="22"/>
      <w:szCs w:val="22"/>
      <w:lang w:val="en-GB" w:eastAsia="ru-RU"/>
    </w:rPr>
  </w:style>
  <w:style w:type="paragraph" w:styleId="BalloonText">
    <w:name w:val="Balloon Text"/>
    <w:basedOn w:val="Normal"/>
    <w:link w:val="BalloonTextChar"/>
    <w:uiPriority w:val="99"/>
    <w:semiHidden/>
    <w:unhideWhenUsed/>
    <w:rsid w:val="004D6A50"/>
    <w:rPr>
      <w:rFonts w:ascii="Segoe UI" w:hAnsi="Segoe UI" w:cs="Segoe UI"/>
      <w:sz w:val="18"/>
      <w:szCs w:val="18"/>
    </w:rPr>
  </w:style>
  <w:style w:type="character" w:customStyle="1" w:styleId="BalloonTextChar">
    <w:name w:val="Balloon Text Char"/>
    <w:link w:val="BalloonText"/>
    <w:uiPriority w:val="99"/>
    <w:semiHidden/>
    <w:rsid w:val="004D6A50"/>
    <w:rPr>
      <w:rFonts w:ascii="Segoe UI" w:hAnsi="Segoe UI" w:cs="Segoe UI"/>
      <w:sz w:val="18"/>
      <w:szCs w:val="18"/>
      <w:lang w:val="fr-FR" w:eastAsia="en-US"/>
    </w:rPr>
  </w:style>
  <w:style w:type="character" w:styleId="CommentReference">
    <w:name w:val="annotation reference"/>
    <w:uiPriority w:val="99"/>
    <w:semiHidden/>
    <w:unhideWhenUsed/>
    <w:rsid w:val="003C279F"/>
    <w:rPr>
      <w:sz w:val="16"/>
      <w:szCs w:val="16"/>
    </w:rPr>
  </w:style>
  <w:style w:type="paragraph" w:styleId="CommentSubject">
    <w:name w:val="annotation subject"/>
    <w:basedOn w:val="CommentText"/>
    <w:next w:val="CommentText"/>
    <w:link w:val="CommentSubjectChar"/>
    <w:uiPriority w:val="99"/>
    <w:semiHidden/>
    <w:unhideWhenUsed/>
    <w:rsid w:val="003C279F"/>
    <w:rPr>
      <w:b/>
      <w:bCs/>
    </w:rPr>
  </w:style>
  <w:style w:type="character" w:customStyle="1" w:styleId="CommentTextChar">
    <w:name w:val="Comment Text Char"/>
    <w:link w:val="CommentText"/>
    <w:semiHidden/>
    <w:rsid w:val="003C279F"/>
    <w:rPr>
      <w:lang w:val="fr-FR" w:eastAsia="en-US"/>
    </w:rPr>
  </w:style>
  <w:style w:type="character" w:customStyle="1" w:styleId="CommentSubjectChar">
    <w:name w:val="Comment Subject Char"/>
    <w:link w:val="CommentSubject"/>
    <w:uiPriority w:val="99"/>
    <w:semiHidden/>
    <w:rsid w:val="003C279F"/>
    <w:rPr>
      <w:b/>
      <w:bCs/>
      <w:lang w:val="fr-FR" w:eastAsia="en-US"/>
    </w:rPr>
  </w:style>
  <w:style w:type="character" w:customStyle="1" w:styleId="Heading3Char">
    <w:name w:val="Heading 3 Char"/>
    <w:link w:val="Heading3"/>
    <w:rsid w:val="00FD352A"/>
    <w:rPr>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B331B-0E04-4D8E-A0E7-280F13F56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4663</Characters>
  <Application>Microsoft Office Word</Application>
  <DocSecurity>0</DocSecurity>
  <PresentationFormat/>
  <Lines>38</Lines>
  <Paragraphs>10</Paragraphs>
  <Slides>0</Slides>
  <Notes>0</Notes>
  <HiddenSlides>0</HiddenSlides>
  <MMClips>0</MMClip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Abstracts</vt:lpstr>
      <vt:lpstr>Abstracts</vt:lpstr>
    </vt:vector>
  </TitlesOfParts>
  <Company>ESRF</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Abstracts</dc:title>
  <dc:subject/>
  <dc:creator>Ute RAMSEGER</dc:creator>
  <cp:keywords/>
  <cp:lastModifiedBy>Yazan Maswadeh</cp:lastModifiedBy>
  <cp:revision>2</cp:revision>
  <cp:lastPrinted>2017-08-06T07:11:00Z</cp:lastPrinted>
  <dcterms:created xsi:type="dcterms:W3CDTF">2017-08-18T03:04:00Z</dcterms:created>
  <dcterms:modified xsi:type="dcterms:W3CDTF">2017-08-18T03:04:00Z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