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ind w:left="0" w:right="0" w:firstLine="0"/>
        <w:jc w:val="center"/>
        <w:rPr>
          <w:rFonts w:ascii="Calibri" w:cs="Calibri" w:hAnsi="Calibri" w:eastAsia="Calibri"/>
          <w:b w:val="1"/>
          <w:bCs w:val="1"/>
          <w:sz w:val="28"/>
          <w:szCs w:val="28"/>
          <w:rtl w:val="0"/>
        </w:rPr>
      </w:pPr>
      <w:r>
        <w:rPr>
          <w:rtl w:val="0"/>
          <w:lang w:val="en-US"/>
        </w:rPr>
        <w:t xml:space="preserve">Abstract </w:t>
      </w:r>
    </w:p>
    <w:p>
      <w:pPr>
        <w:pStyle w:val="Body"/>
        <w:bidi w:val="0"/>
        <w:ind w:left="0" w:right="0" w:firstLine="0"/>
        <w:jc w:val="left"/>
        <w:rPr>
          <w:sz w:val="28"/>
          <w:szCs w:val="28"/>
          <w:rtl w:val="0"/>
        </w:rPr>
      </w:pPr>
      <w:r>
        <w:rPr>
          <w:rFonts w:ascii="Calibri" w:cs="Calibri" w:hAnsi="Calibri" w:eastAsia="Calibri"/>
          <w:b w:val="1"/>
          <w:bCs w:val="1"/>
          <w:sz w:val="28"/>
          <w:szCs w:val="28"/>
          <w:rtl w:val="0"/>
        </w:rPr>
        <w:t>Title</w:t>
      </w:r>
      <w:r>
        <w:rPr>
          <w:sz w:val="28"/>
          <w:szCs w:val="28"/>
          <w:rtl w:val="0"/>
        </w:rPr>
        <w:t>:</w:t>
      </w:r>
    </w:p>
    <w:p>
      <w:pPr>
        <w:pStyle w:val="Body"/>
        <w:bidi w:val="0"/>
        <w:ind w:left="0" w:right="0" w:firstLine="0"/>
        <w:jc w:val="left"/>
        <w:rPr>
          <w:sz w:val="28"/>
          <w:szCs w:val="28"/>
          <w:rtl w:val="0"/>
        </w:rPr>
      </w:pPr>
      <w:r>
        <w:rPr>
          <w:sz w:val="28"/>
          <w:szCs w:val="28"/>
          <w:rtl w:val="0"/>
          <w:lang w:val="en-US"/>
        </w:rPr>
        <w:t>Knowledge and attitude of Saudi dental interns towards the fluoride use; a survey based study to assess the therapeutic affect and management of toxicity.</w:t>
      </w:r>
      <w:r>
        <w:rPr>
          <w:sz w:val="28"/>
          <w:szCs w:val="28"/>
          <w:rtl w:val="0"/>
          <w:lang w:val="en-US"/>
        </w:rPr>
        <w:t xml:space="preserve"> </w:t>
      </w:r>
    </w:p>
    <w:p>
      <w:pPr>
        <w:pStyle w:val="Body"/>
        <w:bidi w:val="0"/>
        <w:ind w:left="0" w:right="0" w:firstLine="0"/>
        <w:jc w:val="left"/>
        <w:rPr>
          <w:sz w:val="28"/>
          <w:szCs w:val="28"/>
          <w:rtl w:val="0"/>
        </w:rPr>
      </w:pPr>
      <w:r>
        <w:rPr>
          <w:sz w:val="28"/>
          <w:szCs w:val="28"/>
          <w:rtl w:val="0"/>
          <w:lang w:val="en-US"/>
        </w:rPr>
        <w:t xml:space="preserve">Riyadh Elm university. Saudi Arabia </w:t>
      </w:r>
    </w:p>
    <w:p>
      <w:pPr>
        <w:pStyle w:val="Body"/>
        <w:bidi w:val="0"/>
        <w:ind w:left="0" w:right="0" w:firstLine="0"/>
        <w:jc w:val="left"/>
        <w:rPr>
          <w:sz w:val="28"/>
          <w:szCs w:val="28"/>
          <w:rtl w:val="0"/>
        </w:rPr>
      </w:pPr>
      <w:r>
        <w:rPr>
          <w:rFonts w:ascii="Calibri" w:cs="Calibri" w:hAnsi="Calibri" w:eastAsia="Calibri"/>
          <w:b w:val="1"/>
          <w:bCs w:val="1"/>
          <w:sz w:val="28"/>
          <w:szCs w:val="28"/>
          <w:rtl w:val="0"/>
          <w:lang w:val="en-US"/>
        </w:rPr>
        <w:t>Researcher</w:t>
      </w:r>
      <w:r>
        <w:rPr>
          <w:sz w:val="28"/>
          <w:szCs w:val="28"/>
          <w:rtl w:val="0"/>
        </w:rPr>
        <w:t>:</w:t>
      </w:r>
    </w:p>
    <w:p>
      <w:pPr>
        <w:pStyle w:val="Body"/>
        <w:bidi w:val="0"/>
        <w:ind w:left="0" w:right="0" w:firstLine="0"/>
        <w:jc w:val="left"/>
        <w:rPr>
          <w:rFonts w:ascii="Calibri" w:cs="Calibri" w:hAnsi="Calibri" w:eastAsia="Calibri"/>
          <w:b w:val="1"/>
          <w:bCs w:val="1"/>
          <w:sz w:val="28"/>
          <w:szCs w:val="28"/>
          <w:rtl w:val="0"/>
        </w:rPr>
      </w:pPr>
      <w:r>
        <w:rPr>
          <w:sz w:val="28"/>
          <w:szCs w:val="28"/>
          <w:rtl w:val="0"/>
          <w:lang w:val="en-US"/>
        </w:rPr>
        <w:t>Dr.Heba Alshammary</w:t>
      </w:r>
    </w:p>
    <w:p>
      <w:pPr>
        <w:pStyle w:val="Body"/>
        <w:bidi w:val="0"/>
        <w:ind w:left="0" w:right="0" w:firstLine="0"/>
        <w:jc w:val="left"/>
        <w:rPr>
          <w:sz w:val="28"/>
          <w:szCs w:val="28"/>
          <w:rtl w:val="0"/>
        </w:rPr>
      </w:pPr>
      <w:r>
        <w:rPr>
          <w:sz w:val="28"/>
          <w:szCs w:val="28"/>
          <w:rtl w:val="0"/>
          <w:lang w:val="en-US"/>
        </w:rPr>
        <w:t>Dental caries have been on the rise in many developing countries as far as its prevalence is concerned. Several preventive techniques had been used to prevent dental caries among all age groups of patients. Fluoride is one of the core preventive methods that have impacted the incidence of caries to some extent. Fluoride can be used in different forms and techniques in order to prevent or arrest carious lesions. The most commonly used forms are toothpaste, mouthwash and dental floss, which may be used by patients itself. However, the dental office operates with several forms of fluoride, including varnish, prophylactic pasts, gels etc. Topical fluoride therapy is believed to be effective in achieving the desired results against caries and recent advances have been made to enhance its affects (Bansal et al, 2015).</w:t>
      </w:r>
    </w:p>
    <w:p>
      <w:pPr>
        <w:pStyle w:val="Body"/>
        <w:bidi w:val="0"/>
        <w:ind w:left="0" w:right="0" w:firstLine="0"/>
        <w:jc w:val="left"/>
        <w:rPr>
          <w:sz w:val="28"/>
          <w:szCs w:val="28"/>
          <w:rtl w:val="0"/>
        </w:rPr>
      </w:pPr>
      <w:r>
        <w:rPr>
          <w:sz w:val="28"/>
          <w:szCs w:val="28"/>
          <w:rtl w:val="0"/>
          <w:lang w:val="en-US"/>
        </w:rPr>
        <w:t>It is imperative to understand the use of topical as well as systemic fluoride use among the patients. In order to achieve that, the dentists should be educated using adequate knowledge and clinical training so that they can utilize this treatment modality wisely as well as safely. Several studies have been conducted to measure the knowledge and attitudes of dental students towards the use of fluoride in their patients. The need of this education is followed by the exhibition of poor knowledge among the dental students (Muralidharan, Pocha and Paul, 2018).</w:t>
      </w:r>
    </w:p>
    <w:p>
      <w:pPr>
        <w:pStyle w:val="Body"/>
        <w:bidi w:val="0"/>
        <w:ind w:left="0" w:right="0" w:firstLine="0"/>
        <w:jc w:val="left"/>
        <w:rPr>
          <w:sz w:val="28"/>
          <w:szCs w:val="28"/>
          <w:rtl w:val="0"/>
        </w:rPr>
      </w:pPr>
    </w:p>
    <w:p>
      <w:pPr>
        <w:pStyle w:val="Body"/>
        <w:bidi w:val="0"/>
        <w:ind w:left="0" w:right="0" w:firstLine="0"/>
        <w:jc w:val="left"/>
        <w:rPr>
          <w:rtl w:val="0"/>
        </w:rPr>
      </w:pPr>
    </w:p>
    <w:p>
      <w:pPr>
        <w:pStyle w:val="Body"/>
        <w:bidi w:val="0"/>
        <w:ind w:left="0" w:right="0" w:firstLine="0"/>
        <w:jc w:val="left"/>
        <w:rPr>
          <w:sz w:val="28"/>
          <w:szCs w:val="28"/>
          <w:rtl w:val="0"/>
        </w:rPr>
      </w:pPr>
    </w:p>
    <w:p>
      <w:pPr>
        <w:pStyle w:val="Body"/>
        <w:bidi w:val="0"/>
        <w:ind w:left="0" w:right="0" w:firstLine="0"/>
        <w:jc w:val="left"/>
        <w:rPr>
          <w:rFonts w:ascii="Calibri" w:cs="Calibri" w:hAnsi="Calibri" w:eastAsia="Calibri"/>
          <w:b w:val="1"/>
          <w:bCs w:val="1"/>
          <w:sz w:val="28"/>
          <w:szCs w:val="28"/>
          <w:rtl w:val="0"/>
        </w:rPr>
      </w:pPr>
      <w:r>
        <w:rPr>
          <w:rFonts w:ascii="Calibri" w:cs="Calibri" w:hAnsi="Calibri" w:eastAsia="Calibri"/>
          <w:b w:val="1"/>
          <w:bCs w:val="1"/>
          <w:sz w:val="28"/>
          <w:szCs w:val="28"/>
          <w:rtl w:val="0"/>
          <w:lang w:val="en-US"/>
        </w:rPr>
        <w:t>Materials and methods:</w:t>
      </w:r>
    </w:p>
    <w:p>
      <w:pPr>
        <w:pStyle w:val="Body"/>
        <w:bidi w:val="0"/>
        <w:ind w:left="0" w:right="0" w:firstLine="0"/>
        <w:jc w:val="left"/>
        <w:rPr>
          <w:sz w:val="28"/>
          <w:szCs w:val="28"/>
          <w:rtl w:val="0"/>
        </w:rPr>
      </w:pPr>
      <w:r>
        <w:rPr>
          <w:sz w:val="28"/>
          <w:szCs w:val="28"/>
          <w:rtl w:val="0"/>
          <w:lang w:val="en-US"/>
        </w:rPr>
        <w:t>This is a cross-sectional study using an online closed ended questionnaire, which was sent to the dental interns from various dental colleges in Riyadh city. College emails and social media groups were used in order to reach out to maximum number of dental interns</w:t>
      </w:r>
    </w:p>
    <w:p>
      <w:pPr>
        <w:pStyle w:val="Body"/>
        <w:bidi w:val="0"/>
        <w:ind w:left="0" w:right="0" w:firstLine="0"/>
        <w:jc w:val="left"/>
        <w:rPr>
          <w:rFonts w:ascii="Calibri" w:cs="Calibri" w:hAnsi="Calibri" w:eastAsia="Calibri"/>
          <w:b w:val="1"/>
          <w:bCs w:val="1"/>
          <w:sz w:val="28"/>
          <w:szCs w:val="28"/>
          <w:rtl w:val="0"/>
        </w:rPr>
      </w:pPr>
      <w:r>
        <w:rPr>
          <w:sz w:val="28"/>
          <w:szCs w:val="28"/>
          <w:rtl w:val="0"/>
          <w:lang w:val="en-US"/>
        </w:rPr>
        <w:t>A total of 600 dental interns were asked to fill up the survey</w:t>
      </w:r>
    </w:p>
    <w:p>
      <w:pPr>
        <w:pStyle w:val="Body"/>
        <w:bidi w:val="0"/>
        <w:ind w:left="0" w:right="0" w:firstLine="0"/>
        <w:jc w:val="left"/>
        <w:rPr>
          <w:rFonts w:ascii="Calibri" w:cs="Calibri" w:hAnsi="Calibri" w:eastAsia="Calibri"/>
          <w:b w:val="1"/>
          <w:bCs w:val="1"/>
          <w:sz w:val="28"/>
          <w:szCs w:val="28"/>
          <w:u w:val="single"/>
          <w:rtl w:val="0"/>
        </w:rPr>
      </w:pPr>
    </w:p>
    <w:p>
      <w:pPr>
        <w:pStyle w:val="Body"/>
        <w:bidi w:val="0"/>
        <w:ind w:left="0" w:right="0" w:firstLine="0"/>
        <w:jc w:val="left"/>
        <w:rPr>
          <w:sz w:val="28"/>
          <w:szCs w:val="28"/>
          <w:rtl w:val="0"/>
        </w:rPr>
      </w:pPr>
    </w:p>
    <w:p>
      <w:pPr>
        <w:pStyle w:val="Body"/>
        <w:bidi w:val="0"/>
        <w:ind w:left="0" w:right="0" w:firstLine="0"/>
        <w:jc w:val="left"/>
        <w:rPr>
          <w:rFonts w:ascii="Calibri" w:cs="Calibri" w:hAnsi="Calibri" w:eastAsia="Calibri"/>
          <w:b w:val="1"/>
          <w:bCs w:val="1"/>
          <w:sz w:val="28"/>
          <w:szCs w:val="28"/>
          <w:rtl w:val="0"/>
        </w:rPr>
      </w:pPr>
      <w:r>
        <w:rPr>
          <w:rFonts w:ascii="Calibri" w:cs="Calibri" w:hAnsi="Calibri" w:eastAsia="Calibri"/>
          <w:b w:val="1"/>
          <w:bCs w:val="1"/>
          <w:sz w:val="28"/>
          <w:szCs w:val="28"/>
          <w:rtl w:val="0"/>
          <w:lang w:val="fr-FR"/>
        </w:rPr>
        <w:t>References:</w:t>
      </w:r>
    </w:p>
    <w:p>
      <w:pPr>
        <w:pStyle w:val="Body"/>
        <w:bidi w:val="0"/>
        <w:ind w:left="0" w:right="0" w:firstLine="0"/>
        <w:jc w:val="left"/>
        <w:rPr>
          <w:sz w:val="28"/>
          <w:szCs w:val="28"/>
          <w:rtl w:val="0"/>
        </w:rPr>
      </w:pPr>
      <w:r>
        <w:rPr>
          <w:sz w:val="28"/>
          <w:szCs w:val="28"/>
          <w:rtl w:val="0"/>
          <w:lang w:val="en-US"/>
        </w:rPr>
        <w:t xml:space="preserve">Bansal A, Ingle NA, Kaur N and Ingle E, 2015. Recent advancements in fluoride: a systematic review. </w:t>
      </w:r>
      <w:r>
        <w:rPr>
          <w:rFonts w:ascii="Calibri" w:cs="Calibri" w:hAnsi="Calibri" w:eastAsia="Calibri"/>
          <w:b w:val="1"/>
          <w:bCs w:val="1"/>
          <w:i w:val="1"/>
          <w:iCs w:val="1"/>
          <w:sz w:val="28"/>
          <w:szCs w:val="28"/>
          <w:rtl w:val="0"/>
          <w:lang w:val="en-US"/>
        </w:rPr>
        <w:t>Journal of International Society of Preventive &amp; Community Dentistry,</w:t>
      </w:r>
      <w:r>
        <w:rPr>
          <w:sz w:val="28"/>
          <w:szCs w:val="28"/>
          <w:rtl w:val="0"/>
        </w:rPr>
        <w:t xml:space="preserve"> 5(5), pp. 341-346. </w:t>
      </w:r>
    </w:p>
    <w:p>
      <w:pPr>
        <w:pStyle w:val="Body"/>
        <w:bidi w:val="0"/>
        <w:ind w:left="0" w:right="0" w:firstLine="0"/>
        <w:jc w:val="left"/>
        <w:rPr>
          <w:sz w:val="28"/>
          <w:szCs w:val="28"/>
          <w:rtl w:val="0"/>
        </w:rPr>
      </w:pPr>
      <w:r>
        <w:rPr>
          <w:sz w:val="28"/>
          <w:szCs w:val="28"/>
          <w:rtl w:val="0"/>
          <w:lang w:val="en-US"/>
        </w:rPr>
        <w:t xml:space="preserve">Muralidharan D, Pocha S and Paul A, 2018. Topical fluoride use: knowledge, attitudes and practices of undergraduate dental students of three dental colleges in South India. </w:t>
      </w:r>
      <w:r>
        <w:rPr>
          <w:rFonts w:ascii="Calibri" w:cs="Calibri" w:hAnsi="Calibri" w:eastAsia="Calibri"/>
          <w:b w:val="1"/>
          <w:bCs w:val="1"/>
          <w:i w:val="1"/>
          <w:iCs w:val="1"/>
          <w:sz w:val="28"/>
          <w:szCs w:val="28"/>
          <w:rtl w:val="0"/>
          <w:lang w:val="en-US"/>
        </w:rPr>
        <w:t>European Journal of Dental Education</w:t>
      </w:r>
      <w:r>
        <w:rPr>
          <w:sz w:val="28"/>
          <w:szCs w:val="28"/>
          <w:rtl w:val="0"/>
        </w:rPr>
        <w:t>, Feb 3.</w:t>
      </w:r>
    </w:p>
    <w:p>
      <w:pPr>
        <w:pStyle w:val="Body"/>
        <w:bidi w:val="0"/>
        <w:ind w:left="0" w:right="0" w:firstLine="0"/>
        <w:jc w:val="left"/>
        <w:rPr>
          <w:sz w:val="28"/>
          <w:szCs w:val="28"/>
          <w:rtl w:val="0"/>
        </w:rPr>
      </w:pPr>
      <w:r>
        <w:rPr>
          <w:sz w:val="28"/>
          <w:szCs w:val="28"/>
          <w:rtl w:val="0"/>
          <w:lang w:val="en-US"/>
        </w:rPr>
        <w:t xml:space="preserve">Byrappagari D and Nguyen T, 2018. Knowledge and opinion of dental students regarding community water fluoridation. </w:t>
      </w:r>
      <w:r>
        <w:rPr>
          <w:rFonts w:ascii="Calibri" w:cs="Calibri" w:hAnsi="Calibri" w:eastAsia="Calibri"/>
          <w:b w:val="1"/>
          <w:bCs w:val="1"/>
          <w:i w:val="1"/>
          <w:iCs w:val="1"/>
          <w:sz w:val="28"/>
          <w:szCs w:val="28"/>
          <w:rtl w:val="0"/>
          <w:lang w:val="en-US"/>
        </w:rPr>
        <w:t>EC Dental Science</w:t>
      </w:r>
      <w:r>
        <w:rPr>
          <w:sz w:val="28"/>
          <w:szCs w:val="28"/>
          <w:rtl w:val="0"/>
        </w:rPr>
        <w:t xml:space="preserve">, 17(3), pp. 93-100. </w:t>
      </w:r>
    </w:p>
    <w:p>
      <w:pPr>
        <w:pStyle w:val="Body"/>
        <w:bidi w:val="0"/>
        <w:ind w:left="0" w:right="0" w:firstLine="0"/>
        <w:jc w:val="left"/>
        <w:rPr>
          <w:sz w:val="28"/>
          <w:szCs w:val="28"/>
          <w:rtl w:val="0"/>
        </w:rPr>
      </w:pPr>
      <w:r>
        <w:rPr>
          <w:sz w:val="28"/>
          <w:szCs w:val="28"/>
          <w:rtl w:val="0"/>
          <w:lang w:val="en-US"/>
        </w:rPr>
        <w:t xml:space="preserve">Shunu D, 2012. Dental fluorosis knowledge and perception among students of the health sciences. </w:t>
      </w:r>
      <w:r>
        <w:rPr>
          <w:rFonts w:ascii="Calibri" w:cs="Calibri" w:hAnsi="Calibri" w:eastAsia="Calibri"/>
          <w:b w:val="1"/>
          <w:bCs w:val="1"/>
          <w:i w:val="1"/>
          <w:iCs w:val="1"/>
          <w:sz w:val="28"/>
          <w:szCs w:val="28"/>
          <w:rtl w:val="0"/>
          <w:lang w:val="de-DE"/>
        </w:rPr>
        <w:t>AJOL</w:t>
      </w:r>
      <w:r>
        <w:rPr>
          <w:sz w:val="28"/>
          <w:szCs w:val="28"/>
          <w:rtl w:val="0"/>
        </w:rPr>
        <w:t>, 19(2), pp. 1-3.</w:t>
      </w:r>
    </w:p>
    <w:p>
      <w:pPr>
        <w:pStyle w:val="Body"/>
        <w:bidi w:val="0"/>
        <w:ind w:left="0" w:right="0" w:firstLine="0"/>
        <w:jc w:val="left"/>
        <w:rPr>
          <w:sz w:val="28"/>
          <w:szCs w:val="28"/>
          <w:rtl w:val="0"/>
        </w:rPr>
      </w:pPr>
      <w:r>
        <w:rPr>
          <w:sz w:val="28"/>
          <w:szCs w:val="28"/>
          <w:rtl w:val="0"/>
          <w:lang w:val="en-US"/>
        </w:rPr>
        <w:t xml:space="preserve">Pakdaman A, Yarahmadi Z and Kharazifard MJ, 2015. Self reported knowledge and attitude of dentists towards prescription of fluoride. </w:t>
      </w:r>
      <w:r>
        <w:rPr>
          <w:rFonts w:ascii="Calibri" w:cs="Calibri" w:hAnsi="Calibri" w:eastAsia="Calibri"/>
          <w:b w:val="1"/>
          <w:bCs w:val="1"/>
          <w:i w:val="1"/>
          <w:iCs w:val="1"/>
          <w:sz w:val="28"/>
          <w:szCs w:val="28"/>
          <w:rtl w:val="0"/>
          <w:lang w:val="en-US"/>
        </w:rPr>
        <w:t>Journal of Dentistry of Tehran University of Medical Sciences</w:t>
      </w:r>
      <w:r>
        <w:rPr>
          <w:sz w:val="28"/>
          <w:szCs w:val="28"/>
          <w:rtl w:val="0"/>
        </w:rPr>
        <w:t>, vol. 12(8), pp. 550-556.</w:t>
      </w:r>
    </w:p>
    <w:p>
      <w:pPr>
        <w:pStyle w:val="Body"/>
        <w:bidi w:val="0"/>
        <w:ind w:left="0" w:right="0" w:firstLine="0"/>
        <w:jc w:val="left"/>
        <w:rPr>
          <w:sz w:val="28"/>
          <w:szCs w:val="28"/>
          <w:rtl w:val="0"/>
        </w:rPr>
      </w:pPr>
      <w:r>
        <w:rPr>
          <w:sz w:val="28"/>
          <w:szCs w:val="28"/>
          <w:rtl w:val="0"/>
          <w:lang w:val="en-US"/>
        </w:rPr>
        <w:t xml:space="preserve">Poureslami HR, Shafie L, Gisoure EF and Pishbin L, 2012. Knowledge and attitude of the primary school male students about the Iranian fluoride mouth rinse. </w:t>
      </w:r>
      <w:r>
        <w:rPr>
          <w:rFonts w:ascii="Calibri" w:cs="Calibri" w:hAnsi="Calibri" w:eastAsia="Calibri"/>
          <w:b w:val="1"/>
          <w:bCs w:val="1"/>
          <w:i w:val="1"/>
          <w:iCs w:val="1"/>
          <w:sz w:val="28"/>
          <w:szCs w:val="28"/>
          <w:rtl w:val="0"/>
          <w:lang w:val="en-US"/>
        </w:rPr>
        <w:t>Journal of Oral Health and Oral Epidemiology</w:t>
      </w:r>
      <w:r>
        <w:rPr>
          <w:sz w:val="28"/>
          <w:szCs w:val="28"/>
          <w:rtl w:val="0"/>
        </w:rPr>
        <w:t xml:space="preserve">, vol. 1(1), pp. 19-22.  </w:t>
      </w:r>
    </w:p>
    <w:p>
      <w:pPr>
        <w:pStyle w:val="Default"/>
        <w:bidi w:val="0"/>
        <w:ind w:left="0" w:right="0" w:firstLine="0"/>
        <w:jc w:val="left"/>
        <w:rPr>
          <w:rFonts w:ascii="Times New Roman" w:cs="Times New Roman" w:hAnsi="Times New Roman" w:eastAsia="Times New Roman"/>
          <w:sz w:val="28"/>
          <w:szCs w:val="28"/>
          <w:rtl w:val="0"/>
        </w:rPr>
      </w:pPr>
    </w:p>
    <w:p>
      <w:pPr>
        <w:pStyle w:val="Default"/>
        <w:bidi w:val="0"/>
        <w:ind w:left="0" w:right="0" w:firstLine="0"/>
        <w:jc w:val="left"/>
        <w:rPr>
          <w:rFonts w:ascii="Times New Roman" w:cs="Times New Roman" w:hAnsi="Times New Roman" w:eastAsia="Times New Roman"/>
          <w:sz w:val="28"/>
          <w:szCs w:val="28"/>
          <w:rtl w:val="0"/>
        </w:rPr>
      </w:pPr>
    </w:p>
    <w:p>
      <w:pPr>
        <w:pStyle w:val="Default"/>
        <w:bidi w:val="0"/>
        <w:ind w:left="0" w:right="0" w:firstLine="0"/>
        <w:jc w:val="left"/>
        <w:rPr>
          <w:rFonts w:ascii="Times New Roman" w:cs="Times New Roman" w:hAnsi="Times New Roman" w:eastAsia="Times New Roman"/>
          <w:sz w:val="28"/>
          <w:szCs w:val="28"/>
          <w:rtl w:val="0"/>
        </w:rPr>
      </w:pPr>
    </w:p>
    <w:p>
      <w:pPr>
        <w:pStyle w:val="Default"/>
        <w:bidi w:val="0"/>
        <w:ind w:left="0" w:right="0" w:firstLine="0"/>
        <w:jc w:val="left"/>
        <w:rPr>
          <w:rtl w:val="0"/>
        </w:rPr>
      </w:pPr>
      <w:r>
        <w:rPr>
          <w:rFonts w:ascii="Times New Roman" w:hAnsi="Times New Roman"/>
          <w:sz w:val="24"/>
          <w:szCs w:val="24"/>
          <w:rtl w:val="0"/>
          <w:lang w:val="en-US"/>
        </w:rPr>
        <w:t>Full name:</w:t>
      </w:r>
      <w:r>
        <w:rPr>
          <w:rFonts w:ascii="Times New Roman" w:hAnsi="Times New Roman"/>
          <w:sz w:val="24"/>
          <w:szCs w:val="24"/>
          <w:rtl w:val="0"/>
          <w:lang w:val="en-US"/>
        </w:rPr>
        <w:t xml:space="preserve"> Heba alshammary </w:t>
      </w:r>
      <w:r>
        <w:rPr>
          <w:rFonts w:ascii="Arial Unicode MS" w:cs="Arial Unicode MS" w:hAnsi="Arial Unicode MS" w:eastAsia="Arial Unicode MS"/>
          <w:b w:val="0"/>
          <w:bCs w:val="0"/>
          <w:i w:val="0"/>
          <w:iCs w:val="0"/>
          <w:sz w:val="24"/>
          <w:szCs w:val="24"/>
          <w:rtl w:val="0"/>
        </w:rPr>
        <w:br w:type="textWrapping"/>
      </w:r>
      <w:r>
        <w:rPr>
          <w:rFonts w:ascii="Times New Roman" w:hAnsi="Times New Roman"/>
          <w:sz w:val="24"/>
          <w:szCs w:val="24"/>
          <w:rtl w:val="0"/>
          <w:lang w:val="en-US"/>
        </w:rPr>
        <w:t>Contact number:</w:t>
      </w:r>
      <w:r>
        <w:rPr>
          <w:rFonts w:ascii="Times New Roman" w:hAnsi="Times New Roman"/>
          <w:sz w:val="24"/>
          <w:szCs w:val="24"/>
          <w:rtl w:val="0"/>
          <w:lang w:val="en-US"/>
        </w:rPr>
        <w:t xml:space="preserve"> 00966504224388</w:t>
      </w:r>
      <w:r>
        <w:rPr>
          <w:rFonts w:ascii="Arial Unicode MS" w:cs="Arial Unicode MS" w:hAnsi="Arial Unicode MS" w:eastAsia="Arial Unicode MS"/>
          <w:b w:val="0"/>
          <w:bCs w:val="0"/>
          <w:i w:val="0"/>
          <w:iCs w:val="0"/>
          <w:sz w:val="24"/>
          <w:szCs w:val="24"/>
          <w:rtl w:val="0"/>
        </w:rPr>
        <w:br w:type="textWrapping"/>
      </w:r>
      <w:r>
        <w:rPr>
          <w:rFonts w:ascii="Times New Roman" w:hAnsi="Times New Roman"/>
          <w:sz w:val="24"/>
          <w:szCs w:val="24"/>
          <w:rtl w:val="0"/>
          <w:lang w:val="en-US"/>
        </w:rPr>
        <w:t>Twitter account:</w:t>
      </w:r>
      <w:r>
        <w:rPr>
          <w:rFonts w:ascii="Times New Roman" w:hAnsi="Times New Roman"/>
          <w:sz w:val="24"/>
          <w:szCs w:val="24"/>
          <w:rtl w:val="0"/>
          <w:lang w:val="en-US"/>
        </w:rPr>
        <w:t xml:space="preserve"> Heba alshammary</w:t>
      </w:r>
      <w:r>
        <w:rPr>
          <w:rFonts w:ascii="Arial Unicode MS" w:cs="Arial Unicode MS" w:hAnsi="Arial Unicode MS" w:eastAsia="Arial Unicode MS"/>
          <w:b w:val="0"/>
          <w:bCs w:val="0"/>
          <w:i w:val="0"/>
          <w:iCs w:val="0"/>
          <w:sz w:val="24"/>
          <w:szCs w:val="24"/>
          <w:rtl w:val="0"/>
        </w:rPr>
        <w:br w:type="textWrapping"/>
      </w:r>
      <w:r>
        <w:rPr>
          <w:rFonts w:ascii="Times New Roman" w:hAnsi="Times New Roman"/>
          <w:sz w:val="24"/>
          <w:szCs w:val="24"/>
          <w:rtl w:val="0"/>
          <w:lang w:val="it-IT"/>
        </w:rPr>
        <w:t>Category: Oral presentation</w:t>
      </w:r>
      <w:r>
        <w:rPr>
          <w:rFonts w:ascii="Times New Roman" w:hAnsi="Times New Roman"/>
          <w:sz w:val="24"/>
          <w:szCs w:val="24"/>
          <w:rtl w:val="0"/>
          <w:lang w:val="en-US"/>
        </w:rPr>
        <w:t xml:space="preserve"> poster </w:t>
      </w:r>
      <w:r>
        <w:rPr>
          <w:rFonts w:ascii="Times New Roman" w:cs="Times New Roman" w:hAnsi="Times New Roman" w:eastAsia="Times New Roman"/>
          <w:sz w:val="28"/>
          <w:szCs w:val="28"/>
          <w:rtl w:val="0"/>
        </w:rPr>
      </w:r>
    </w:p>
    <w:sectPr>
      <w:headerReference w:type="default" r:id="rId4"/>
      <w:footerReference w:type="default" r:id="rId5"/>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1"/>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