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1BC" w:rsidRPr="001351BC" w:rsidRDefault="001351BC" w:rsidP="001351BC">
      <w:pPr>
        <w:bidi w:val="0"/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1351BC">
        <w:rPr>
          <w:rFonts w:asciiTheme="majorBidi" w:hAnsiTheme="majorBidi" w:cstheme="majorBidi"/>
          <w:b/>
          <w:bCs/>
          <w:sz w:val="24"/>
          <w:szCs w:val="24"/>
        </w:rPr>
        <w:t>Abstract</w:t>
      </w:r>
    </w:p>
    <w:p w:rsidR="001351BC" w:rsidRPr="001351BC" w:rsidRDefault="001351BC" w:rsidP="001351BC">
      <w:pPr>
        <w:bidi w:val="0"/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1351BC">
        <w:rPr>
          <w:rFonts w:asciiTheme="majorBidi" w:hAnsiTheme="majorBidi" w:cstheme="majorBidi"/>
          <w:b/>
          <w:bCs/>
          <w:sz w:val="24"/>
          <w:szCs w:val="24"/>
        </w:rPr>
        <w:t>Purpose:</w:t>
      </w:r>
      <w:r w:rsidRPr="001351BC">
        <w:rPr>
          <w:rFonts w:asciiTheme="majorBidi" w:hAnsiTheme="majorBidi" w:cstheme="majorBidi"/>
          <w:sz w:val="24"/>
          <w:szCs w:val="24"/>
        </w:rPr>
        <w:t xml:space="preserve"> Impaired fasting glucose (IFG) is associated with incident diabetes, cardiovascular risk, and markers of atherosclerosis in early adulthood. We aimed to explore the 10-year change in IFG prevalence among adolescent participants of the Tehran Lipid and Glucose Study, a population-based study from Iran. </w:t>
      </w:r>
    </w:p>
    <w:p w:rsidR="001351BC" w:rsidRPr="001351BC" w:rsidRDefault="001351BC" w:rsidP="001351BC">
      <w:pPr>
        <w:bidi w:val="0"/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1351BC">
        <w:rPr>
          <w:rFonts w:asciiTheme="majorBidi" w:hAnsiTheme="majorBidi" w:cstheme="majorBidi"/>
          <w:b/>
          <w:bCs/>
          <w:sz w:val="24"/>
          <w:szCs w:val="24"/>
        </w:rPr>
        <w:t>Methods:</w:t>
      </w:r>
      <w:r w:rsidRPr="001351BC">
        <w:rPr>
          <w:rFonts w:asciiTheme="majorBidi" w:hAnsiTheme="majorBidi" w:cstheme="majorBidi"/>
          <w:sz w:val="24"/>
          <w:szCs w:val="24"/>
        </w:rPr>
        <w:t xml:space="preserve"> For our study, we used data on fasting plasma glucose (FPG), anthropometric and demographic information of 11-19 year-old adol</w:t>
      </w:r>
      <w:bookmarkStart w:id="0" w:name="_GoBack"/>
      <w:bookmarkEnd w:id="0"/>
      <w:r w:rsidRPr="001351BC">
        <w:rPr>
          <w:rFonts w:asciiTheme="majorBidi" w:hAnsiTheme="majorBidi" w:cstheme="majorBidi"/>
          <w:sz w:val="24"/>
          <w:szCs w:val="24"/>
        </w:rPr>
        <w:t>escents in study period I (1999-2005; 1415 boys, 1583 girls) and study period II (2011-2014; 477 boys, 469 girls). Sex-adjusted and sex-stratified multivariable logistic regression models were used to assess the relationship of the study period (reference: study period I) with IFG.</w:t>
      </w:r>
    </w:p>
    <w:p w:rsidR="001351BC" w:rsidRPr="001351BC" w:rsidRDefault="001351BC" w:rsidP="001351BC">
      <w:pPr>
        <w:bidi w:val="0"/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1351BC">
        <w:rPr>
          <w:rFonts w:asciiTheme="majorBidi" w:hAnsiTheme="majorBidi" w:cstheme="majorBidi"/>
          <w:b/>
          <w:bCs/>
          <w:sz w:val="24"/>
          <w:szCs w:val="24"/>
        </w:rPr>
        <w:t>Results:</w:t>
      </w:r>
      <w:r w:rsidRPr="001351BC">
        <w:rPr>
          <w:rFonts w:asciiTheme="majorBidi" w:hAnsiTheme="majorBidi" w:cstheme="majorBidi"/>
          <w:sz w:val="24"/>
          <w:szCs w:val="24"/>
        </w:rPr>
        <w:t xml:space="preserve"> The prevalence of IFG, general obesity, and central obesity increased from 7%, 13.3%, and 18.8% in study period I to 16.6%, 24%, and 37.4% in study period II; while a favorable trend was seen for blood pressure, triglycerides and high density lipoprotein cholesterol. In the fully adjusted model, being older (age group 15-19 vs. 11-14 years) and female gender were associated with lower risk. Being overweight and obese increased the risk by risk ratios (confidence interval) of 1.57 (1.17-2.11) and 1.63 (1.15-2.30), respectively. Central adiposity did not remain as an independent risk factor. Nevertheless, study period persisted as a significant factor despite all adjustments [2.20 (1.81-2.68)]. Results in the sex-stratified models were generally the same.</w:t>
      </w:r>
    </w:p>
    <w:p w:rsidR="001351BC" w:rsidRPr="001351BC" w:rsidRDefault="001351BC" w:rsidP="001351BC">
      <w:pPr>
        <w:bidi w:val="0"/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1351BC">
        <w:rPr>
          <w:rFonts w:asciiTheme="majorBidi" w:hAnsiTheme="majorBidi" w:cstheme="majorBidi"/>
          <w:b/>
          <w:bCs/>
          <w:sz w:val="24"/>
          <w:szCs w:val="24"/>
        </w:rPr>
        <w:t>Conclusion:</w:t>
      </w:r>
      <w:r w:rsidRPr="001351BC">
        <w:rPr>
          <w:rFonts w:asciiTheme="majorBidi" w:hAnsiTheme="majorBidi" w:cstheme="majorBidi"/>
          <w:sz w:val="24"/>
          <w:szCs w:val="24"/>
        </w:rPr>
        <w:t xml:space="preserve"> Our results demonstrated that the over 2-fold rise in IFG prevalence among adolescents was not solely dependent on general and central obesity.</w:t>
      </w:r>
    </w:p>
    <w:p w:rsidR="001351BC" w:rsidRPr="001309EC" w:rsidRDefault="001351BC" w:rsidP="001351BC">
      <w:pPr>
        <w:bidi w:val="0"/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1351BC">
        <w:rPr>
          <w:rFonts w:asciiTheme="majorBidi" w:hAnsiTheme="majorBidi" w:cstheme="majorBidi"/>
          <w:b/>
          <w:bCs/>
          <w:color w:val="000000"/>
          <w:sz w:val="24"/>
          <w:szCs w:val="24"/>
        </w:rPr>
        <w:t>Keywords</w:t>
      </w:r>
      <w:r w:rsidRPr="001351BC">
        <w:rPr>
          <w:rFonts w:asciiTheme="majorBidi" w:hAnsiTheme="majorBidi" w:cstheme="majorBidi"/>
          <w:color w:val="000000"/>
          <w:sz w:val="24"/>
          <w:szCs w:val="24"/>
        </w:rPr>
        <w:t>: Adolescent, diabetes mellitus, impaired fasting glucose, Middle East</w:t>
      </w:r>
    </w:p>
    <w:p w:rsidR="004B0DB9" w:rsidRDefault="004B0DB9"/>
    <w:sectPr w:rsidR="004B0D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1BC"/>
    <w:rsid w:val="001351BC"/>
    <w:rsid w:val="004B0DB9"/>
    <w:rsid w:val="00672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3648F3-7D44-423D-B266-870AC3BAC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51BC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261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Eidkhani</dc:creator>
  <cp:keywords/>
  <dc:description/>
  <cp:lastModifiedBy>Eidkhani</cp:lastModifiedBy>
  <cp:revision>1</cp:revision>
  <dcterms:created xsi:type="dcterms:W3CDTF">2019-04-29T13:02:00Z</dcterms:created>
  <dcterms:modified xsi:type="dcterms:W3CDTF">2019-04-29T13:03:00Z</dcterms:modified>
</cp:coreProperties>
</file>