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28E" w:rsidRPr="00D7428E" w:rsidRDefault="00D7428E" w:rsidP="00D7428E">
      <w:pPr>
        <w:shd w:val="clear" w:color="auto" w:fill="FFFFFF"/>
        <w:bidi w:val="0"/>
        <w:spacing w:before="120" w:after="120" w:line="300" w:lineRule="atLeast"/>
        <w:jc w:val="center"/>
        <w:outlineLvl w:val="0"/>
        <w:rPr>
          <w:rFonts w:ascii="Times New Roman" w:eastAsia="Times New Roman" w:hAnsi="Times New Roman" w:cs="Times New Roman"/>
          <w:b/>
          <w:bCs/>
          <w:color w:val="000000"/>
          <w:kern w:val="36"/>
          <w:sz w:val="20"/>
          <w:szCs w:val="20"/>
        </w:rPr>
      </w:pPr>
      <w:r w:rsidRPr="00D7428E">
        <w:rPr>
          <w:rFonts w:ascii="Times New Roman" w:eastAsia="Times New Roman" w:hAnsi="Times New Roman" w:cs="Times New Roman"/>
          <w:b/>
          <w:bCs/>
          <w:color w:val="000000"/>
          <w:kern w:val="36"/>
          <w:sz w:val="20"/>
          <w:szCs w:val="20"/>
        </w:rPr>
        <w:t>Assessment of Small Fiber Neuropathy in HCV-Related Cirrhosis with or without Diabetes Mellitus: A Pilot Study in Egyptian Patients</w:t>
      </w:r>
    </w:p>
    <w:p w:rsidR="0013725E" w:rsidRPr="000B14CF" w:rsidRDefault="0013725E" w:rsidP="0013725E">
      <w:pPr>
        <w:autoSpaceDE w:val="0"/>
        <w:autoSpaceDN w:val="0"/>
        <w:adjustRightInd w:val="0"/>
        <w:spacing w:after="0" w:line="240" w:lineRule="auto"/>
        <w:rPr>
          <w:rFonts w:ascii="Times New Roman" w:hAnsi="Times New Roman" w:cs="Times New Roman" w:hint="cs"/>
          <w:b/>
          <w:sz w:val="20"/>
          <w:szCs w:val="20"/>
          <w:lang w:bidi="ar-EG"/>
        </w:rPr>
      </w:pPr>
    </w:p>
    <w:p w:rsidR="00D7428E" w:rsidRPr="00D7428E" w:rsidRDefault="00D7428E" w:rsidP="00D7428E">
      <w:pPr>
        <w:bidi w:val="0"/>
        <w:spacing w:after="0" w:line="480" w:lineRule="auto"/>
        <w:jc w:val="both"/>
        <w:rPr>
          <w:rFonts w:asciiTheme="majorBidi" w:hAnsiTheme="majorBidi" w:cstheme="majorBidi"/>
          <w:b/>
          <w:bCs/>
          <w:color w:val="000000" w:themeColor="text1"/>
          <w:sz w:val="20"/>
          <w:szCs w:val="20"/>
        </w:rPr>
      </w:pPr>
      <w:r w:rsidRPr="00D7428E">
        <w:rPr>
          <w:rFonts w:asciiTheme="majorBidi" w:hAnsiTheme="majorBidi" w:cstheme="majorBidi"/>
          <w:b/>
          <w:bCs/>
          <w:color w:val="000000" w:themeColor="text1"/>
          <w:sz w:val="20"/>
          <w:szCs w:val="20"/>
        </w:rPr>
        <w:t>El-Sayed Tharwa</w:t>
      </w:r>
      <w:r w:rsidRPr="00D7428E">
        <w:rPr>
          <w:rFonts w:asciiTheme="majorBidi" w:hAnsiTheme="majorBidi" w:cstheme="majorBidi"/>
          <w:b/>
          <w:bCs/>
          <w:color w:val="000000" w:themeColor="text1"/>
          <w:sz w:val="20"/>
          <w:szCs w:val="20"/>
          <w:vertAlign w:val="superscript"/>
        </w:rPr>
        <w:t>1</w:t>
      </w:r>
      <w:r w:rsidRPr="00D7428E">
        <w:rPr>
          <w:rFonts w:asciiTheme="majorBidi" w:hAnsiTheme="majorBidi" w:cstheme="majorBidi"/>
          <w:b/>
          <w:bCs/>
          <w:color w:val="000000" w:themeColor="text1"/>
          <w:sz w:val="20"/>
          <w:szCs w:val="20"/>
        </w:rPr>
        <w:t>, Mohamed Abdel-Samiee</w:t>
      </w:r>
      <w:r w:rsidRPr="00D7428E">
        <w:rPr>
          <w:rFonts w:asciiTheme="majorBidi" w:hAnsiTheme="majorBidi" w:cstheme="majorBidi"/>
          <w:b/>
          <w:bCs/>
          <w:color w:val="000000" w:themeColor="text1"/>
          <w:sz w:val="20"/>
          <w:szCs w:val="20"/>
          <w:vertAlign w:val="superscript"/>
        </w:rPr>
        <w:t>1</w:t>
      </w:r>
      <w:r w:rsidRPr="00D7428E">
        <w:rPr>
          <w:rFonts w:asciiTheme="majorBidi" w:hAnsiTheme="majorBidi" w:cstheme="majorBidi"/>
          <w:b/>
          <w:bCs/>
          <w:color w:val="000000" w:themeColor="text1"/>
          <w:sz w:val="20"/>
          <w:szCs w:val="20"/>
        </w:rPr>
        <w:t>, Anwar Mohamed</w:t>
      </w:r>
      <w:r w:rsidRPr="00D7428E">
        <w:rPr>
          <w:rFonts w:asciiTheme="majorBidi" w:hAnsiTheme="majorBidi" w:cstheme="majorBidi"/>
          <w:b/>
          <w:bCs/>
          <w:color w:val="000000" w:themeColor="text1"/>
          <w:sz w:val="20"/>
          <w:szCs w:val="20"/>
          <w:vertAlign w:val="superscript"/>
        </w:rPr>
        <w:t>1</w:t>
      </w:r>
      <w:r w:rsidRPr="00D7428E">
        <w:rPr>
          <w:rFonts w:asciiTheme="majorBidi" w:hAnsiTheme="majorBidi" w:cstheme="majorBidi"/>
          <w:b/>
          <w:bCs/>
          <w:color w:val="000000" w:themeColor="text1"/>
          <w:sz w:val="20"/>
          <w:szCs w:val="20"/>
        </w:rPr>
        <w:t>, Mohsen Salama</w:t>
      </w:r>
      <w:r w:rsidRPr="00D7428E">
        <w:rPr>
          <w:rFonts w:asciiTheme="majorBidi" w:hAnsiTheme="majorBidi" w:cstheme="majorBidi"/>
          <w:b/>
          <w:bCs/>
          <w:color w:val="000000" w:themeColor="text1"/>
          <w:sz w:val="20"/>
          <w:szCs w:val="20"/>
          <w:vertAlign w:val="superscript"/>
        </w:rPr>
        <w:t>1</w:t>
      </w:r>
      <w:r w:rsidRPr="00D7428E">
        <w:rPr>
          <w:rFonts w:asciiTheme="majorBidi" w:hAnsiTheme="majorBidi" w:cstheme="majorBidi"/>
          <w:b/>
          <w:bCs/>
          <w:color w:val="000000" w:themeColor="text1"/>
          <w:sz w:val="20"/>
          <w:szCs w:val="20"/>
        </w:rPr>
        <w:t>, Mohamed I. Youssef</w:t>
      </w:r>
      <w:r w:rsidRPr="00D7428E">
        <w:rPr>
          <w:rFonts w:asciiTheme="majorBidi" w:hAnsiTheme="majorBidi" w:cstheme="majorBidi"/>
          <w:b/>
          <w:bCs/>
          <w:color w:val="000000" w:themeColor="text1"/>
          <w:sz w:val="20"/>
          <w:szCs w:val="20"/>
          <w:vertAlign w:val="superscript"/>
        </w:rPr>
        <w:t>2</w:t>
      </w:r>
      <w:r w:rsidRPr="00D7428E">
        <w:rPr>
          <w:rFonts w:asciiTheme="majorBidi" w:hAnsiTheme="majorBidi" w:cstheme="majorBidi"/>
          <w:b/>
          <w:bCs/>
          <w:color w:val="000000" w:themeColor="text1"/>
          <w:sz w:val="20"/>
          <w:szCs w:val="20"/>
        </w:rPr>
        <w:t>, Mohammed Saied Bakeer</w:t>
      </w:r>
      <w:r w:rsidRPr="00D7428E">
        <w:rPr>
          <w:rFonts w:asciiTheme="majorBidi" w:hAnsiTheme="majorBidi" w:cstheme="majorBidi"/>
          <w:b/>
          <w:bCs/>
          <w:color w:val="000000" w:themeColor="text1"/>
          <w:sz w:val="20"/>
          <w:szCs w:val="20"/>
          <w:vertAlign w:val="superscript"/>
        </w:rPr>
        <w:t>2</w:t>
      </w:r>
      <w:r w:rsidRPr="00D7428E">
        <w:rPr>
          <w:rFonts w:asciiTheme="majorBidi" w:hAnsiTheme="majorBidi" w:cstheme="majorBidi"/>
          <w:b/>
          <w:bCs/>
          <w:color w:val="000000" w:themeColor="text1"/>
          <w:sz w:val="20"/>
          <w:szCs w:val="20"/>
        </w:rPr>
        <w:t>, Doaa Elwazzan</w:t>
      </w:r>
      <w:r w:rsidRPr="00D7428E">
        <w:rPr>
          <w:rFonts w:asciiTheme="majorBidi" w:hAnsiTheme="majorBidi" w:cstheme="majorBidi"/>
          <w:b/>
          <w:bCs/>
          <w:color w:val="000000" w:themeColor="text1"/>
          <w:sz w:val="20"/>
          <w:szCs w:val="20"/>
          <w:vertAlign w:val="superscript"/>
        </w:rPr>
        <w:t>3</w:t>
      </w:r>
      <w:r w:rsidRPr="00D7428E">
        <w:rPr>
          <w:rFonts w:asciiTheme="majorBidi" w:hAnsiTheme="majorBidi" w:cstheme="majorBidi"/>
          <w:b/>
          <w:bCs/>
          <w:color w:val="000000" w:themeColor="text1"/>
          <w:sz w:val="20"/>
          <w:szCs w:val="20"/>
        </w:rPr>
        <w:t>, Hosam Aldeen Salah Shabana</w:t>
      </w:r>
      <w:r w:rsidRPr="00D7428E">
        <w:rPr>
          <w:rFonts w:asciiTheme="majorBidi" w:hAnsiTheme="majorBidi" w:cstheme="majorBidi"/>
          <w:b/>
          <w:bCs/>
          <w:color w:val="000000" w:themeColor="text1"/>
          <w:sz w:val="20"/>
          <w:szCs w:val="20"/>
          <w:vertAlign w:val="superscript"/>
        </w:rPr>
        <w:t>2</w:t>
      </w:r>
      <w:r w:rsidRPr="00D7428E">
        <w:rPr>
          <w:rFonts w:asciiTheme="majorBidi" w:hAnsiTheme="majorBidi" w:cstheme="majorBidi"/>
          <w:b/>
          <w:bCs/>
          <w:color w:val="000000" w:themeColor="text1"/>
          <w:sz w:val="20"/>
          <w:szCs w:val="20"/>
        </w:rPr>
        <w:t>, Mahmoud Abdelrashed Allam</w:t>
      </w:r>
      <w:r w:rsidRPr="00D7428E">
        <w:rPr>
          <w:rFonts w:asciiTheme="majorBidi" w:hAnsiTheme="majorBidi" w:cstheme="majorBidi"/>
          <w:b/>
          <w:bCs/>
          <w:color w:val="000000" w:themeColor="text1"/>
          <w:sz w:val="20"/>
          <w:szCs w:val="20"/>
          <w:vertAlign w:val="superscript"/>
        </w:rPr>
        <w:t>2</w:t>
      </w:r>
      <w:r w:rsidRPr="00D7428E">
        <w:rPr>
          <w:rFonts w:asciiTheme="majorBidi" w:hAnsiTheme="majorBidi" w:cstheme="majorBidi"/>
          <w:b/>
          <w:bCs/>
          <w:color w:val="000000" w:themeColor="text1"/>
          <w:sz w:val="20"/>
          <w:szCs w:val="20"/>
        </w:rPr>
        <w:t>, Sherief M. Alshazly</w:t>
      </w:r>
      <w:r w:rsidRPr="00D7428E">
        <w:rPr>
          <w:rFonts w:asciiTheme="majorBidi" w:hAnsiTheme="majorBidi" w:cstheme="majorBidi"/>
          <w:b/>
          <w:bCs/>
          <w:color w:val="000000" w:themeColor="text1"/>
          <w:sz w:val="20"/>
          <w:szCs w:val="20"/>
          <w:vertAlign w:val="superscript"/>
        </w:rPr>
        <w:t>4</w:t>
      </w:r>
      <w:r w:rsidRPr="00D7428E">
        <w:rPr>
          <w:rFonts w:asciiTheme="majorBidi" w:hAnsiTheme="majorBidi" w:cstheme="majorBidi"/>
          <w:b/>
          <w:bCs/>
          <w:color w:val="000000" w:themeColor="text1"/>
          <w:sz w:val="20"/>
          <w:szCs w:val="20"/>
        </w:rPr>
        <w:t>, Elsayed Fathi Ali Hamed</w:t>
      </w:r>
      <w:r w:rsidRPr="00D7428E">
        <w:rPr>
          <w:rFonts w:asciiTheme="majorBidi" w:hAnsiTheme="majorBidi" w:cstheme="majorBidi"/>
          <w:b/>
          <w:bCs/>
          <w:color w:val="000000" w:themeColor="text1"/>
          <w:sz w:val="20"/>
          <w:szCs w:val="20"/>
          <w:vertAlign w:val="superscript"/>
        </w:rPr>
        <w:t>4</w:t>
      </w:r>
      <w:r w:rsidRPr="00D7428E">
        <w:rPr>
          <w:rFonts w:asciiTheme="majorBidi" w:hAnsiTheme="majorBidi" w:cstheme="majorBidi"/>
          <w:b/>
          <w:bCs/>
          <w:color w:val="000000" w:themeColor="text1"/>
          <w:sz w:val="20"/>
          <w:szCs w:val="20"/>
        </w:rPr>
        <w:t>, Hany Abdelbary Abdelaziz  Elbasyouni</w:t>
      </w:r>
      <w:r w:rsidRPr="00D7428E">
        <w:rPr>
          <w:rFonts w:asciiTheme="majorBidi" w:hAnsiTheme="majorBidi" w:cstheme="majorBidi"/>
          <w:b/>
          <w:bCs/>
          <w:color w:val="000000" w:themeColor="text1"/>
          <w:sz w:val="20"/>
          <w:szCs w:val="20"/>
          <w:vertAlign w:val="superscript"/>
        </w:rPr>
        <w:t>5</w:t>
      </w:r>
      <w:r w:rsidRPr="00D7428E">
        <w:rPr>
          <w:rFonts w:asciiTheme="majorBidi" w:hAnsiTheme="majorBidi" w:cstheme="majorBidi"/>
          <w:b/>
          <w:bCs/>
          <w:color w:val="000000" w:themeColor="text1"/>
          <w:sz w:val="20"/>
          <w:szCs w:val="20"/>
        </w:rPr>
        <w:t>, A. S. Seif</w:t>
      </w:r>
      <w:r w:rsidRPr="00D7428E">
        <w:rPr>
          <w:rFonts w:asciiTheme="majorBidi" w:hAnsiTheme="majorBidi" w:cstheme="majorBidi"/>
          <w:b/>
          <w:bCs/>
          <w:color w:val="000000" w:themeColor="text1"/>
          <w:sz w:val="20"/>
          <w:szCs w:val="20"/>
          <w:vertAlign w:val="superscript"/>
        </w:rPr>
        <w:t>6</w:t>
      </w:r>
      <w:r w:rsidRPr="00D7428E">
        <w:rPr>
          <w:rFonts w:asciiTheme="majorBidi" w:hAnsiTheme="majorBidi" w:cstheme="majorBidi"/>
          <w:b/>
          <w:bCs/>
          <w:color w:val="000000" w:themeColor="text1"/>
          <w:sz w:val="20"/>
          <w:szCs w:val="20"/>
        </w:rPr>
        <w:t>,  Ayman Ahmed Sakr</w:t>
      </w:r>
      <w:r w:rsidRPr="00D7428E">
        <w:rPr>
          <w:rFonts w:asciiTheme="majorBidi" w:hAnsiTheme="majorBidi" w:cstheme="majorBidi"/>
          <w:b/>
          <w:bCs/>
          <w:color w:val="000000" w:themeColor="text1"/>
          <w:sz w:val="20"/>
          <w:szCs w:val="20"/>
          <w:vertAlign w:val="superscript"/>
        </w:rPr>
        <w:t>7</w:t>
      </w:r>
      <w:r w:rsidRPr="00D7428E">
        <w:rPr>
          <w:rFonts w:asciiTheme="majorBidi" w:hAnsiTheme="majorBidi" w:cstheme="majorBidi"/>
          <w:b/>
          <w:bCs/>
          <w:color w:val="000000" w:themeColor="text1"/>
          <w:sz w:val="20"/>
          <w:szCs w:val="20"/>
        </w:rPr>
        <w:t>, Marwa F. Youssef</w:t>
      </w:r>
      <w:r w:rsidRPr="00D7428E">
        <w:rPr>
          <w:rFonts w:asciiTheme="majorBidi" w:hAnsiTheme="majorBidi" w:cstheme="majorBidi"/>
          <w:b/>
          <w:bCs/>
          <w:color w:val="000000" w:themeColor="text1"/>
          <w:sz w:val="20"/>
          <w:szCs w:val="20"/>
          <w:vertAlign w:val="superscript"/>
        </w:rPr>
        <w:t>8</w:t>
      </w:r>
      <w:r w:rsidRPr="00D7428E">
        <w:rPr>
          <w:rFonts w:asciiTheme="majorBidi" w:hAnsiTheme="majorBidi" w:cstheme="majorBidi"/>
          <w:b/>
          <w:bCs/>
          <w:color w:val="000000" w:themeColor="text1"/>
          <w:sz w:val="20"/>
          <w:szCs w:val="20"/>
        </w:rPr>
        <w:t>, Sally Waheed Elkhadry</w:t>
      </w:r>
      <w:r w:rsidRPr="00D7428E">
        <w:rPr>
          <w:rFonts w:asciiTheme="majorBidi" w:hAnsiTheme="majorBidi" w:cstheme="majorBidi"/>
          <w:b/>
          <w:bCs/>
          <w:color w:val="000000" w:themeColor="text1"/>
          <w:sz w:val="20"/>
          <w:szCs w:val="20"/>
          <w:vertAlign w:val="superscript"/>
        </w:rPr>
        <w:t>8</w:t>
      </w:r>
      <w:r w:rsidRPr="00D7428E">
        <w:rPr>
          <w:rFonts w:asciiTheme="majorBidi" w:hAnsiTheme="majorBidi" w:cstheme="majorBidi"/>
          <w:b/>
          <w:bCs/>
          <w:color w:val="000000" w:themeColor="text1"/>
          <w:sz w:val="20"/>
          <w:szCs w:val="20"/>
        </w:rPr>
        <w:t>, Mohammad AbdelElhameed Ahmed Alwaseef</w:t>
      </w:r>
      <w:r w:rsidRPr="00D7428E">
        <w:rPr>
          <w:rFonts w:asciiTheme="majorBidi" w:hAnsiTheme="majorBidi" w:cstheme="majorBidi"/>
          <w:b/>
          <w:bCs/>
          <w:color w:val="000000" w:themeColor="text1"/>
          <w:sz w:val="20"/>
          <w:szCs w:val="20"/>
          <w:vertAlign w:val="superscript"/>
        </w:rPr>
        <w:t>9</w:t>
      </w:r>
      <w:r w:rsidRPr="00D7428E">
        <w:rPr>
          <w:rFonts w:asciiTheme="majorBidi" w:hAnsiTheme="majorBidi" w:cstheme="majorBidi"/>
          <w:b/>
          <w:bCs/>
          <w:color w:val="000000" w:themeColor="text1"/>
          <w:sz w:val="20"/>
          <w:szCs w:val="20"/>
        </w:rPr>
        <w:t xml:space="preserve"> and  Helmy Elshazly</w:t>
      </w:r>
      <w:r w:rsidRPr="00D7428E">
        <w:rPr>
          <w:rFonts w:asciiTheme="majorBidi" w:hAnsiTheme="majorBidi" w:cstheme="majorBidi"/>
          <w:b/>
          <w:bCs/>
          <w:color w:val="000000" w:themeColor="text1"/>
          <w:sz w:val="20"/>
          <w:szCs w:val="20"/>
          <w:vertAlign w:val="superscript"/>
        </w:rPr>
        <w:t>1</w:t>
      </w:r>
      <w:r w:rsidRPr="00D7428E">
        <w:rPr>
          <w:rFonts w:asciiTheme="majorBidi" w:hAnsiTheme="majorBidi" w:cstheme="majorBidi"/>
          <w:b/>
          <w:bCs/>
          <w:color w:val="000000"/>
          <w:sz w:val="20"/>
          <w:szCs w:val="20"/>
        </w:rPr>
        <w:t xml:space="preserve">. </w:t>
      </w:r>
    </w:p>
    <w:p w:rsidR="0013725E" w:rsidRPr="00D7428E" w:rsidRDefault="0013725E" w:rsidP="0013725E">
      <w:pPr>
        <w:autoSpaceDE w:val="0"/>
        <w:autoSpaceDN w:val="0"/>
        <w:adjustRightInd w:val="0"/>
        <w:spacing w:after="0" w:line="240" w:lineRule="auto"/>
        <w:jc w:val="center"/>
        <w:rPr>
          <w:rFonts w:ascii="Times New Roman" w:eastAsia="Times New Roman" w:hAnsi="Times New Roman" w:cs="Times New Roman"/>
          <w:b/>
          <w:bCs/>
          <w:color w:val="000000"/>
          <w:kern w:val="36"/>
          <w:sz w:val="20"/>
          <w:szCs w:val="20"/>
          <w:vertAlign w:val="superscript"/>
          <w:lang w:bidi="ar-EG"/>
        </w:rPr>
      </w:pP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1 </w:t>
      </w:r>
      <w:r w:rsidRPr="00D7428E">
        <w:rPr>
          <w:rFonts w:ascii="Times New Roman" w:eastAsia="Times New Roman" w:hAnsi="Times New Roman" w:cs="Times New Roman"/>
          <w:b/>
          <w:bCs/>
          <w:color w:val="212121"/>
          <w:sz w:val="20"/>
          <w:szCs w:val="20"/>
          <w:lang w:eastAsia="ja-JP"/>
        </w:rPr>
        <w:t>Department of Hepatology and Gastroenterology, National Liver Institute, Menoufia University, Menoufia,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2 </w:t>
      </w:r>
      <w:r w:rsidRPr="00D7428E">
        <w:rPr>
          <w:rFonts w:ascii="Times New Roman" w:eastAsia="Times New Roman" w:hAnsi="Times New Roman" w:cs="Times New Roman"/>
          <w:b/>
          <w:bCs/>
          <w:color w:val="212121"/>
          <w:sz w:val="20"/>
          <w:szCs w:val="20"/>
          <w:lang w:eastAsia="ja-JP"/>
        </w:rPr>
        <w:t>Department of Internal Medicine, Al-Azhar University, Cairo,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3 </w:t>
      </w:r>
      <w:r w:rsidRPr="00D7428E">
        <w:rPr>
          <w:rFonts w:ascii="Times New Roman" w:eastAsia="Times New Roman" w:hAnsi="Times New Roman" w:cs="Times New Roman"/>
          <w:b/>
          <w:bCs/>
          <w:color w:val="212121"/>
          <w:sz w:val="20"/>
          <w:szCs w:val="20"/>
          <w:lang w:eastAsia="ja-JP"/>
        </w:rPr>
        <w:t>Department of Tropical Medicine, Faculty of Medicine, Alexandria University, Alexandria,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4 </w:t>
      </w:r>
      <w:r w:rsidRPr="00D7428E">
        <w:rPr>
          <w:rFonts w:ascii="Times New Roman" w:eastAsia="Times New Roman" w:hAnsi="Times New Roman" w:cs="Times New Roman"/>
          <w:b/>
          <w:bCs/>
          <w:color w:val="212121"/>
          <w:sz w:val="20"/>
          <w:szCs w:val="20"/>
          <w:lang w:eastAsia="ja-JP"/>
        </w:rPr>
        <w:t>Department of Neurology, Al-Azhar University, Cairo,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5 </w:t>
      </w:r>
      <w:r w:rsidRPr="00D7428E">
        <w:rPr>
          <w:rFonts w:ascii="Times New Roman" w:eastAsia="Times New Roman" w:hAnsi="Times New Roman" w:cs="Times New Roman"/>
          <w:b/>
          <w:bCs/>
          <w:color w:val="212121"/>
          <w:sz w:val="20"/>
          <w:szCs w:val="20"/>
          <w:lang w:eastAsia="ja-JP"/>
        </w:rPr>
        <w:t>Department of Internal Medicine, Faculty of Medicine, Menoufia University, Menoufia,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6 </w:t>
      </w:r>
      <w:r w:rsidRPr="00D7428E">
        <w:rPr>
          <w:rFonts w:ascii="Times New Roman" w:eastAsia="Times New Roman" w:hAnsi="Times New Roman" w:cs="Times New Roman"/>
          <w:b/>
          <w:bCs/>
          <w:color w:val="212121"/>
          <w:sz w:val="20"/>
          <w:szCs w:val="20"/>
          <w:lang w:eastAsia="ja-JP"/>
        </w:rPr>
        <w:t>Tropical Medicine Hepatology and Gastroenterology Department, Shebin Elkom Teaching Hospital, Menoufia,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7 </w:t>
      </w:r>
      <w:r w:rsidRPr="00D7428E">
        <w:rPr>
          <w:rFonts w:ascii="Times New Roman" w:eastAsia="Times New Roman" w:hAnsi="Times New Roman" w:cs="Times New Roman"/>
          <w:b/>
          <w:bCs/>
          <w:color w:val="212121"/>
          <w:sz w:val="20"/>
          <w:szCs w:val="20"/>
          <w:lang w:eastAsia="ja-JP"/>
        </w:rPr>
        <w:t>Department of Tropical Medicine, Faculty of Medicine, Menoufia University, Menoufia,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8 </w:t>
      </w:r>
      <w:r w:rsidRPr="00D7428E">
        <w:rPr>
          <w:rFonts w:ascii="Times New Roman" w:eastAsia="Times New Roman" w:hAnsi="Times New Roman" w:cs="Times New Roman"/>
          <w:b/>
          <w:bCs/>
          <w:color w:val="212121"/>
          <w:sz w:val="20"/>
          <w:szCs w:val="20"/>
          <w:lang w:eastAsia="ja-JP"/>
        </w:rPr>
        <w:t>Epidemiology and Preventive Medicine Department, National Liver Institute, Menoufia University, Menoufia, Egypt.</w:t>
      </w:r>
    </w:p>
    <w:p w:rsidR="00D7428E" w:rsidRPr="00D7428E" w:rsidRDefault="00D7428E" w:rsidP="00D7428E">
      <w:pPr>
        <w:autoSpaceDE w:val="0"/>
        <w:autoSpaceDN w:val="0"/>
        <w:bidi w:val="0"/>
        <w:adjustRightInd w:val="0"/>
        <w:spacing w:after="0" w:line="240" w:lineRule="auto"/>
        <w:jc w:val="both"/>
        <w:rPr>
          <w:rFonts w:ascii="Times New Roman" w:eastAsia="Times New Roman" w:hAnsi="Times New Roman" w:cs="Times New Roman"/>
          <w:b/>
          <w:bCs/>
          <w:color w:val="212121"/>
          <w:sz w:val="20"/>
          <w:szCs w:val="20"/>
          <w:lang w:eastAsia="ja-JP"/>
        </w:rPr>
      </w:pPr>
      <w:r>
        <w:rPr>
          <w:rFonts w:ascii="Times New Roman" w:eastAsia="Times New Roman" w:hAnsi="Times New Roman" w:cs="Times New Roman"/>
          <w:b/>
          <w:bCs/>
          <w:color w:val="212121"/>
          <w:sz w:val="20"/>
          <w:szCs w:val="20"/>
          <w:lang w:eastAsia="ja-JP"/>
        </w:rPr>
        <w:t xml:space="preserve">9 </w:t>
      </w:r>
      <w:r w:rsidRPr="00D7428E">
        <w:rPr>
          <w:rFonts w:ascii="Times New Roman" w:eastAsia="Times New Roman" w:hAnsi="Times New Roman" w:cs="Times New Roman"/>
          <w:b/>
          <w:bCs/>
          <w:color w:val="212121"/>
          <w:sz w:val="20"/>
          <w:szCs w:val="20"/>
          <w:lang w:eastAsia="ja-JP"/>
        </w:rPr>
        <w:t>Clinical Pathology department, Al-Azhar University, Cairo, Egypt.</w:t>
      </w:r>
    </w:p>
    <w:p w:rsidR="0013725E" w:rsidRPr="00D7428E" w:rsidRDefault="0013725E" w:rsidP="0047608C">
      <w:pPr>
        <w:autoSpaceDE w:val="0"/>
        <w:autoSpaceDN w:val="0"/>
        <w:adjustRightInd w:val="0"/>
        <w:spacing w:after="0"/>
        <w:jc w:val="right"/>
        <w:rPr>
          <w:rFonts w:ascii="Times New Roman" w:eastAsia="Times New Roman" w:hAnsi="Times New Roman" w:cs="Times New Roman"/>
          <w:b/>
          <w:bCs/>
          <w:color w:val="212121"/>
          <w:sz w:val="20"/>
          <w:szCs w:val="20"/>
          <w:lang w:eastAsia="ja-JP"/>
        </w:rPr>
      </w:pPr>
    </w:p>
    <w:p w:rsidR="00D7428E" w:rsidRPr="00B75674" w:rsidRDefault="000B14CF" w:rsidP="00D7428E">
      <w:pPr>
        <w:bidi w:val="0"/>
        <w:spacing w:after="0" w:line="480" w:lineRule="auto"/>
        <w:rPr>
          <w:rFonts w:ascii="Arial" w:hAnsi="Arial"/>
          <w:b/>
          <w:bCs/>
          <w:color w:val="0000FF"/>
          <w:sz w:val="28"/>
          <w:szCs w:val="28"/>
        </w:rPr>
      </w:pPr>
      <w:r w:rsidRPr="000166FF">
        <w:rPr>
          <w:rFonts w:ascii="Times New Roman" w:hAnsi="Times New Roman" w:cs="Times New Roman"/>
          <w:b/>
          <w:bCs/>
          <w:sz w:val="20"/>
          <w:szCs w:val="20"/>
        </w:rPr>
        <w:t xml:space="preserve">Keywords: </w:t>
      </w:r>
      <w:r w:rsidR="00D7428E" w:rsidRPr="00D7428E">
        <w:rPr>
          <w:rFonts w:ascii="Times New Roman" w:hAnsi="Times New Roman" w:cs="Times New Roman"/>
          <w:bCs/>
          <w:sz w:val="20"/>
          <w:szCs w:val="20"/>
        </w:rPr>
        <w:t>Electrochemical Skin Conductance; Hepatitis C; Small Fiber Neuropathy.</w:t>
      </w:r>
    </w:p>
    <w:p w:rsidR="0013725E" w:rsidRPr="0047608C" w:rsidRDefault="0013725E" w:rsidP="00D7428E">
      <w:pPr>
        <w:autoSpaceDE w:val="0"/>
        <w:autoSpaceDN w:val="0"/>
        <w:bidi w:val="0"/>
        <w:adjustRightInd w:val="0"/>
        <w:spacing w:after="0" w:line="240" w:lineRule="auto"/>
        <w:jc w:val="both"/>
        <w:rPr>
          <w:rFonts w:ascii="Times New Roman" w:hAnsi="Times New Roman" w:cs="Times New Roman"/>
          <w:bCs/>
          <w:sz w:val="20"/>
          <w:szCs w:val="20"/>
          <w:rtl/>
        </w:rPr>
      </w:pPr>
    </w:p>
    <w:p w:rsidR="000B14CF" w:rsidRPr="000B14CF" w:rsidRDefault="000B14CF" w:rsidP="0047608C">
      <w:pPr>
        <w:autoSpaceDE w:val="0"/>
        <w:autoSpaceDN w:val="0"/>
        <w:bidi w:val="0"/>
        <w:adjustRightInd w:val="0"/>
        <w:spacing w:after="0" w:line="240" w:lineRule="auto"/>
        <w:jc w:val="both"/>
        <w:rPr>
          <w:rFonts w:ascii="Times New Roman" w:hAnsi="Times New Roman" w:cs="Times New Roman"/>
          <w:bCs/>
          <w:sz w:val="20"/>
          <w:szCs w:val="20"/>
        </w:rPr>
      </w:pPr>
    </w:p>
    <w:p w:rsidR="0047608C" w:rsidRPr="00D7428E" w:rsidRDefault="000B14CF" w:rsidP="00D7428E">
      <w:pPr>
        <w:bidi w:val="0"/>
        <w:spacing w:after="0" w:line="480" w:lineRule="auto"/>
        <w:jc w:val="both"/>
        <w:rPr>
          <w:rFonts w:asciiTheme="majorBidi" w:eastAsia="Calibri" w:hAnsiTheme="majorBidi" w:cstheme="majorBidi"/>
          <w:b/>
          <w:bCs/>
          <w:iCs/>
          <w:sz w:val="24"/>
          <w:szCs w:val="24"/>
        </w:rPr>
      </w:pPr>
      <w:r w:rsidRPr="000166FF">
        <w:rPr>
          <w:rFonts w:ascii="Times New Roman" w:hAnsi="Times New Roman" w:cs="Times New Roman"/>
          <w:b/>
          <w:bCs/>
          <w:sz w:val="20"/>
          <w:szCs w:val="20"/>
        </w:rPr>
        <w:t>Introduction:</w:t>
      </w:r>
      <w:r w:rsidRPr="000B14CF">
        <w:rPr>
          <w:rFonts w:ascii="Times New Roman" w:hAnsi="Times New Roman" w:cs="Times New Roman"/>
          <w:bCs/>
          <w:sz w:val="20"/>
          <w:szCs w:val="20"/>
        </w:rPr>
        <w:t xml:space="preserve"> </w:t>
      </w:r>
      <w:r w:rsidR="00D7428E" w:rsidRPr="00D7428E">
        <w:rPr>
          <w:rFonts w:ascii="Times New Roman" w:hAnsi="Times New Roman" w:cs="Times New Roman"/>
          <w:bCs/>
          <w:sz w:val="20"/>
          <w:szCs w:val="20"/>
        </w:rPr>
        <w:t>Hepatitis C Virus (HCV) infection can affect the neurological system and neuropathy is one of these manifestations. HCV infection is associated with diabetes mellitus (DM) type II and diabetic patients are at higher risk of acquiring HCV infection. Sweat function has been proposed to assess early autonomic neuropathy.</w:t>
      </w:r>
      <w:r w:rsidR="00D7428E">
        <w:rPr>
          <w:rFonts w:asciiTheme="majorBidi" w:eastAsia="Calibri" w:hAnsiTheme="majorBidi" w:cstheme="majorBidi"/>
          <w:b/>
          <w:bCs/>
          <w:iCs/>
          <w:sz w:val="24"/>
          <w:szCs w:val="24"/>
        </w:rPr>
        <w:t xml:space="preserve"> </w:t>
      </w:r>
      <w:r w:rsidRPr="000166FF">
        <w:rPr>
          <w:rFonts w:ascii="Times New Roman" w:hAnsi="Times New Roman" w:cs="Times New Roman"/>
          <w:b/>
          <w:bCs/>
          <w:sz w:val="20"/>
          <w:szCs w:val="20"/>
        </w:rPr>
        <w:t xml:space="preserve">Objectives: </w:t>
      </w:r>
      <w:r w:rsidR="00D7428E" w:rsidRPr="00D7428E">
        <w:rPr>
          <w:rFonts w:ascii="Times New Roman" w:hAnsi="Times New Roman" w:cs="Times New Roman"/>
          <w:bCs/>
          <w:sz w:val="20"/>
          <w:szCs w:val="20"/>
        </w:rPr>
        <w:t xml:space="preserve">This study aimed to evaluate small fiber neuropathy in asymptomatic HCV-related cirrhotic patients with or without diabetes mellitus through sweat function assessment. </w:t>
      </w:r>
      <w:r w:rsidRPr="000166FF">
        <w:rPr>
          <w:rFonts w:ascii="Times New Roman" w:hAnsi="Times New Roman" w:cs="Times New Roman"/>
          <w:b/>
          <w:bCs/>
          <w:sz w:val="20"/>
          <w:szCs w:val="20"/>
        </w:rPr>
        <w:t>Methods:</w:t>
      </w:r>
      <w:r w:rsidRPr="000B14CF">
        <w:rPr>
          <w:rFonts w:ascii="Times New Roman" w:hAnsi="Times New Roman" w:cs="Times New Roman"/>
          <w:bCs/>
          <w:sz w:val="20"/>
          <w:szCs w:val="20"/>
        </w:rPr>
        <w:t xml:space="preserve"> </w:t>
      </w:r>
      <w:r w:rsidR="00D7428E" w:rsidRPr="00D7428E">
        <w:rPr>
          <w:rFonts w:ascii="Times New Roman" w:hAnsi="Times New Roman" w:cs="Times New Roman"/>
          <w:bCs/>
          <w:sz w:val="20"/>
          <w:szCs w:val="20"/>
        </w:rPr>
        <w:t>Three groups were involved: 47 healthy controls, 48 HCV-related cirrhotic patients without DM (Group 1) and 49 HCV-related cirrhotic patients with DM type II (Group 2). All participants were subjected to liver panel tests, renal function tests, cell blood counts, HbA1c, abdominal ultrasound. Sweat function was assessed in all patients and controls by measuring hand and feet Electrochemical Skin Conductance (ESC, µS) using Sudoscan.</w:t>
      </w:r>
      <w:r w:rsidR="00D7428E">
        <w:rPr>
          <w:rFonts w:asciiTheme="majorBidi" w:eastAsia="Calibri" w:hAnsiTheme="majorBidi" w:cstheme="majorBidi"/>
          <w:b/>
          <w:bCs/>
          <w:iCs/>
          <w:sz w:val="24"/>
          <w:szCs w:val="24"/>
        </w:rPr>
        <w:t xml:space="preserve"> </w:t>
      </w:r>
      <w:r w:rsidR="0013725E" w:rsidRPr="000166FF">
        <w:rPr>
          <w:rFonts w:ascii="Times New Roman" w:hAnsi="Times New Roman" w:cs="Times New Roman"/>
          <w:b/>
          <w:bCs/>
          <w:sz w:val="20"/>
          <w:szCs w:val="20"/>
        </w:rPr>
        <w:t>Results</w:t>
      </w:r>
      <w:r w:rsidRPr="00D7428E">
        <w:rPr>
          <w:rFonts w:ascii="Times New Roman" w:hAnsi="Times New Roman" w:cs="Times New Roman"/>
          <w:bCs/>
          <w:sz w:val="20"/>
          <w:szCs w:val="20"/>
        </w:rPr>
        <w:t xml:space="preserve">: </w:t>
      </w:r>
      <w:r w:rsidR="0013725E" w:rsidRPr="00D7428E">
        <w:rPr>
          <w:rFonts w:ascii="Times New Roman" w:hAnsi="Times New Roman" w:cs="Times New Roman"/>
          <w:bCs/>
          <w:sz w:val="20"/>
          <w:szCs w:val="20"/>
        </w:rPr>
        <w:t xml:space="preserve"> </w:t>
      </w:r>
      <w:r w:rsidR="00D7428E" w:rsidRPr="00D7428E">
        <w:rPr>
          <w:rFonts w:ascii="Times New Roman" w:hAnsi="Times New Roman" w:cs="Times New Roman"/>
          <w:bCs/>
          <w:sz w:val="20"/>
          <w:szCs w:val="20"/>
        </w:rPr>
        <w:t xml:space="preserve">Peripheral neuropathy was detected in none of the controls, 39% of Group 1 patients and in 62% of Group 2 patients (p&lt; 0.0001). The mean feet ESC (FESC) was 88.3 ± 6.8 µS in controls, 67.2 ± 19.2 µS in Group 1 and 57.9 ± 19.4 µS in Group 2 (p&lt; 0.0001). A significant correlation was observed between FESC and bilirubin, </w:t>
      </w:r>
      <w:r w:rsidR="00D7428E" w:rsidRPr="00D7428E">
        <w:rPr>
          <w:rFonts w:ascii="Times New Roman" w:hAnsi="Times New Roman" w:cs="Times New Roman"/>
          <w:bCs/>
          <w:sz w:val="20"/>
          <w:szCs w:val="20"/>
        </w:rPr>
        <w:lastRenderedPageBreak/>
        <w:t>albumin, creatinine, international normalized ratio, transaminases and splenic size.</w:t>
      </w:r>
      <w:r w:rsidR="00D7428E">
        <w:rPr>
          <w:rFonts w:asciiTheme="majorBidi" w:eastAsia="Calibri" w:hAnsiTheme="majorBidi" w:cstheme="majorBidi"/>
          <w:b/>
          <w:bCs/>
          <w:iCs/>
          <w:sz w:val="24"/>
          <w:szCs w:val="24"/>
        </w:rPr>
        <w:t xml:space="preserve"> </w:t>
      </w:r>
      <w:r w:rsidRPr="000166FF">
        <w:rPr>
          <w:rFonts w:ascii="Times New Roman" w:hAnsi="Times New Roman" w:cs="Times New Roman"/>
          <w:b/>
          <w:bCs/>
          <w:sz w:val="20"/>
          <w:szCs w:val="20"/>
        </w:rPr>
        <w:t>Conclusion:</w:t>
      </w:r>
      <w:r w:rsidRPr="000166FF">
        <w:rPr>
          <w:rFonts w:ascii="Times New Roman" w:hAnsi="Times New Roman" w:cs="Times New Roman"/>
          <w:bCs/>
          <w:sz w:val="20"/>
          <w:szCs w:val="20"/>
        </w:rPr>
        <w:t xml:space="preserve"> </w:t>
      </w:r>
      <w:r w:rsidR="0047608C" w:rsidRPr="0047608C">
        <w:rPr>
          <w:rFonts w:ascii="Times New Roman" w:hAnsi="Times New Roman" w:cs="Times New Roman"/>
          <w:bCs/>
          <w:sz w:val="20"/>
          <w:szCs w:val="20"/>
        </w:rPr>
        <w:t>The integration of circulating mi-RNA panel achieved to diagnose NAFLD cases and to discriminate between SS and NASH. Large scale study is still needed to verify the other miRNAs profile and their role in NAFLD pathogenesis and targeting therapy.</w:t>
      </w:r>
    </w:p>
    <w:p w:rsidR="0013725E" w:rsidRPr="000B14CF" w:rsidRDefault="0013725E" w:rsidP="0047608C">
      <w:pPr>
        <w:autoSpaceDE w:val="0"/>
        <w:autoSpaceDN w:val="0"/>
        <w:bidi w:val="0"/>
        <w:adjustRightInd w:val="0"/>
        <w:spacing w:after="0" w:line="240" w:lineRule="auto"/>
        <w:jc w:val="both"/>
        <w:rPr>
          <w:rFonts w:ascii="Times New Roman" w:hAnsi="Times New Roman" w:cs="Times New Roman"/>
          <w:b/>
          <w:sz w:val="20"/>
          <w:szCs w:val="20"/>
        </w:rPr>
      </w:pPr>
    </w:p>
    <w:p w:rsidR="0013725E" w:rsidRPr="00A03568" w:rsidRDefault="0013725E" w:rsidP="0013725E">
      <w:pPr>
        <w:spacing w:after="0" w:line="240" w:lineRule="auto"/>
        <w:rPr>
          <w:rFonts w:ascii="Times New Roman" w:hAnsi="Times New Roman" w:cs="Times New Roman"/>
          <w:sz w:val="20"/>
          <w:szCs w:val="20"/>
          <w:lang w:bidi="ar-EG"/>
        </w:rPr>
      </w:pPr>
    </w:p>
    <w:p w:rsidR="00D7428E" w:rsidRDefault="00D7428E" w:rsidP="00D7428E">
      <w:pPr>
        <w:rPr>
          <w:rFonts w:hint="cs"/>
          <w:rtl/>
          <w:lang w:bidi="ar-EG"/>
        </w:rPr>
      </w:pPr>
    </w:p>
    <w:p w:rsidR="00D7428E" w:rsidRDefault="00D7428E" w:rsidP="00D7428E">
      <w:pPr>
        <w:rPr>
          <w:rtl/>
          <w:lang w:bidi="ar-EG"/>
        </w:rPr>
      </w:pPr>
    </w:p>
    <w:p w:rsidR="00D7428E" w:rsidRDefault="00D7428E" w:rsidP="00D7428E">
      <w:pPr>
        <w:rPr>
          <w:rtl/>
          <w:lang w:bidi="ar-EG"/>
        </w:rPr>
      </w:pPr>
      <w:r>
        <w:rPr>
          <w:rFonts w:cs="Arial"/>
          <w:noProof/>
          <w:rtl/>
        </w:rPr>
        <w:drawing>
          <wp:inline distT="0" distB="0" distL="0" distR="0">
            <wp:extent cx="5274310" cy="3925943"/>
            <wp:effectExtent l="19050" t="0" r="2540" b="0"/>
            <wp:docPr id="2" name="Picture 1" descr="C:\Users\Hamada\Downloads\77054906_869947003439774_81675100371539722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ada\Downloads\77054906_869947003439774_8167510037153972224_n.jpg"/>
                    <pic:cNvPicPr>
                      <a:picLocks noChangeAspect="1" noChangeArrowheads="1"/>
                    </pic:cNvPicPr>
                  </pic:nvPicPr>
                  <pic:blipFill>
                    <a:blip r:embed="rId7"/>
                    <a:srcRect/>
                    <a:stretch>
                      <a:fillRect/>
                    </a:stretch>
                  </pic:blipFill>
                  <pic:spPr bwMode="auto">
                    <a:xfrm>
                      <a:off x="0" y="0"/>
                      <a:ext cx="5274310" cy="3925943"/>
                    </a:xfrm>
                    <a:prstGeom prst="rect">
                      <a:avLst/>
                    </a:prstGeom>
                    <a:noFill/>
                    <a:ln w="9525">
                      <a:noFill/>
                      <a:miter lim="800000"/>
                      <a:headEnd/>
                      <a:tailEnd/>
                    </a:ln>
                  </pic:spPr>
                </pic:pic>
              </a:graphicData>
            </a:graphic>
          </wp:inline>
        </w:drawing>
      </w:r>
    </w:p>
    <w:p w:rsidR="00D7428E" w:rsidRDefault="00D7428E" w:rsidP="00D7428E">
      <w:pPr>
        <w:rPr>
          <w:rtl/>
          <w:lang w:bidi="ar-EG"/>
        </w:rPr>
      </w:pPr>
    </w:p>
    <w:p w:rsidR="00D7428E" w:rsidRPr="00D7428E" w:rsidRDefault="00D7428E" w:rsidP="00D7428E">
      <w:pPr>
        <w:bidi w:val="0"/>
        <w:spacing w:after="0" w:line="360" w:lineRule="auto"/>
        <w:jc w:val="both"/>
        <w:rPr>
          <w:rFonts w:ascii="Times New Roman" w:eastAsia="Times New Roman" w:hAnsi="Times New Roman" w:cs="Times New Roman"/>
          <w:b/>
          <w:bCs/>
          <w:sz w:val="20"/>
          <w:szCs w:val="20"/>
        </w:rPr>
      </w:pPr>
      <w:r w:rsidRPr="00D7428E">
        <w:rPr>
          <w:rFonts w:ascii="Times New Roman" w:eastAsia="Times New Roman" w:hAnsi="Times New Roman" w:cs="Times New Roman"/>
          <w:b/>
          <w:bCs/>
          <w:sz w:val="20"/>
          <w:szCs w:val="20"/>
        </w:rPr>
        <w:t>Figure 1: Box-plots of feet ESC (FESC) in controls, patients with HCV-related cirrhosis and patients with HCV-related cirrhosis as well as DM. FESC is decreased in HCV-related cirrhosis as compared to controls, and more profoundly decreased in patients with DM in addition.</w:t>
      </w:r>
    </w:p>
    <w:p w:rsidR="00D7428E" w:rsidRPr="00D7428E" w:rsidRDefault="00D7428E" w:rsidP="00D7428E">
      <w:pPr>
        <w:bidi w:val="0"/>
        <w:spacing w:after="0" w:line="360" w:lineRule="auto"/>
        <w:jc w:val="both"/>
        <w:rPr>
          <w:rFonts w:ascii="Times New Roman" w:eastAsia="Times New Roman" w:hAnsi="Times New Roman" w:cs="Times New Roman"/>
          <w:b/>
          <w:bCs/>
          <w:sz w:val="20"/>
          <w:szCs w:val="20"/>
        </w:rPr>
      </w:pPr>
    </w:p>
    <w:p w:rsidR="00D7428E" w:rsidRDefault="00D7428E" w:rsidP="00D7428E">
      <w:pPr>
        <w:bidi w:val="0"/>
        <w:spacing w:after="0" w:line="360" w:lineRule="auto"/>
        <w:jc w:val="both"/>
        <w:rPr>
          <w:rFonts w:ascii="Times New Roman" w:eastAsia="Times New Roman" w:hAnsi="Times New Roman" w:cs="Times New Roman"/>
          <w:b/>
          <w:bCs/>
          <w:sz w:val="20"/>
          <w:szCs w:val="20"/>
        </w:rPr>
      </w:pPr>
    </w:p>
    <w:p w:rsidR="00D7428E" w:rsidRDefault="00D7428E" w:rsidP="00D7428E">
      <w:pPr>
        <w:bidi w:val="0"/>
        <w:spacing w:after="0" w:line="360" w:lineRule="auto"/>
        <w:jc w:val="both"/>
        <w:rPr>
          <w:rFonts w:ascii="Times New Roman" w:eastAsia="Times New Roman" w:hAnsi="Times New Roman" w:cs="Times New Roman"/>
          <w:b/>
          <w:bCs/>
          <w:sz w:val="20"/>
          <w:szCs w:val="20"/>
        </w:rPr>
      </w:pPr>
    </w:p>
    <w:p w:rsidR="00D7428E" w:rsidRDefault="00D7428E" w:rsidP="00D7428E">
      <w:pPr>
        <w:bidi w:val="0"/>
        <w:spacing w:after="0" w:line="360" w:lineRule="auto"/>
        <w:jc w:val="both"/>
        <w:rPr>
          <w:rFonts w:ascii="Times New Roman" w:eastAsia="Times New Roman" w:hAnsi="Times New Roman" w:cs="Times New Roman"/>
          <w:b/>
          <w:bCs/>
          <w:sz w:val="20"/>
          <w:szCs w:val="20"/>
        </w:rPr>
      </w:pPr>
    </w:p>
    <w:p w:rsidR="00D7428E" w:rsidRDefault="00D7428E" w:rsidP="00D7428E">
      <w:pPr>
        <w:bidi w:val="0"/>
        <w:spacing w:after="0" w:line="360" w:lineRule="auto"/>
        <w:jc w:val="both"/>
        <w:rPr>
          <w:rFonts w:ascii="Times New Roman" w:eastAsia="Times New Roman" w:hAnsi="Times New Roman" w:cs="Times New Roman"/>
          <w:b/>
          <w:bCs/>
          <w:sz w:val="20"/>
          <w:szCs w:val="20"/>
        </w:rPr>
      </w:pPr>
    </w:p>
    <w:p w:rsidR="00D7428E" w:rsidRDefault="00D7428E" w:rsidP="00D7428E">
      <w:pPr>
        <w:bidi w:val="0"/>
        <w:spacing w:after="0" w:line="360" w:lineRule="auto"/>
        <w:jc w:val="both"/>
        <w:rPr>
          <w:rFonts w:ascii="Times New Roman" w:eastAsia="Times New Roman" w:hAnsi="Times New Roman" w:cs="Times New Roman"/>
          <w:b/>
          <w:bCs/>
          <w:sz w:val="20"/>
          <w:szCs w:val="20"/>
        </w:rPr>
      </w:pPr>
    </w:p>
    <w:p w:rsidR="00D7428E" w:rsidRDefault="00D7428E" w:rsidP="00D7428E">
      <w:pPr>
        <w:bidi w:val="0"/>
        <w:spacing w:after="0" w:line="360" w:lineRule="auto"/>
        <w:jc w:val="both"/>
        <w:rPr>
          <w:rFonts w:ascii="Times New Roman" w:eastAsia="Times New Roman" w:hAnsi="Times New Roman" w:cs="Times New Roman"/>
          <w:b/>
          <w:bCs/>
          <w:sz w:val="20"/>
          <w:szCs w:val="20"/>
        </w:rPr>
      </w:pPr>
    </w:p>
    <w:p w:rsidR="00D7428E" w:rsidRPr="00D7428E" w:rsidRDefault="00D7428E" w:rsidP="00D7428E">
      <w:pPr>
        <w:bidi w:val="0"/>
        <w:spacing w:after="0" w:line="360" w:lineRule="auto"/>
        <w:jc w:val="both"/>
        <w:rPr>
          <w:rFonts w:ascii="Times New Roman" w:eastAsia="Times New Roman" w:hAnsi="Times New Roman" w:cs="Times New Roman"/>
          <w:b/>
          <w:bCs/>
          <w:sz w:val="20"/>
          <w:szCs w:val="20"/>
        </w:rPr>
      </w:pPr>
      <w:r w:rsidRPr="00D7428E">
        <w:rPr>
          <w:rFonts w:ascii="Times New Roman" w:eastAsia="Times New Roman" w:hAnsi="Times New Roman" w:cs="Times New Roman"/>
          <w:b/>
          <w:bCs/>
          <w:sz w:val="20"/>
          <w:szCs w:val="20"/>
        </w:rPr>
        <w:lastRenderedPageBreak/>
        <w:t>Table 1: Study population characteristics. N (%) for categorical variables and mean (±STD) for continuous variables. P-value for Chi², fisher or Wilcoxon test.</w:t>
      </w:r>
    </w:p>
    <w:p w:rsidR="00D7428E" w:rsidRDefault="00D7428E" w:rsidP="00D7428E">
      <w:pPr>
        <w:rPr>
          <w:lang w:bidi="ar-EG"/>
        </w:rPr>
      </w:pPr>
    </w:p>
    <w:tbl>
      <w:tblPr>
        <w:tblStyle w:val="TableGrid"/>
        <w:bidiVisual/>
        <w:tblW w:w="8697" w:type="dxa"/>
        <w:tblLook w:val="04A0"/>
      </w:tblPr>
      <w:tblGrid>
        <w:gridCol w:w="1739"/>
        <w:gridCol w:w="1739"/>
        <w:gridCol w:w="1739"/>
        <w:gridCol w:w="1740"/>
        <w:gridCol w:w="1740"/>
      </w:tblGrid>
      <w:tr w:rsidR="00D7428E" w:rsidTr="00233096">
        <w:trPr>
          <w:trHeight w:val="457"/>
        </w:trPr>
        <w:tc>
          <w:tcPr>
            <w:tcW w:w="1739" w:type="dxa"/>
            <w:vAlign w:val="bottom"/>
          </w:tcPr>
          <w:p w:rsidR="00D7428E" w:rsidRDefault="00D7428E" w:rsidP="00233096">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P-value</w:t>
            </w:r>
          </w:p>
        </w:tc>
        <w:tc>
          <w:tcPr>
            <w:tcW w:w="1739" w:type="dxa"/>
            <w:vAlign w:val="bottom"/>
          </w:tcPr>
          <w:p w:rsidR="00D7428E" w:rsidRDefault="00D7428E" w:rsidP="00233096">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Group 2</w:t>
            </w:r>
            <w:r>
              <w:rPr>
                <w:rFonts w:ascii="Times New Roman" w:eastAsia="Times New Roman" w:hAnsi="Times New Roman" w:cs="Times New Roman"/>
                <w:b/>
                <w:color w:val="000000"/>
              </w:rPr>
              <w:br/>
              <w:t>(N=49)</w:t>
            </w:r>
          </w:p>
        </w:tc>
        <w:tc>
          <w:tcPr>
            <w:tcW w:w="1739" w:type="dxa"/>
          </w:tcPr>
          <w:p w:rsidR="00D7428E" w:rsidRDefault="00D7428E" w:rsidP="00233096">
            <w:pPr>
              <w:rPr>
                <w:rtl/>
                <w:lang w:bidi="ar-EG"/>
              </w:rPr>
            </w:pPr>
            <w:r>
              <w:rPr>
                <w:rFonts w:ascii="Times New Roman" w:eastAsia="Times New Roman" w:hAnsi="Times New Roman" w:cs="Times New Roman"/>
                <w:b/>
                <w:color w:val="000000"/>
              </w:rPr>
              <w:t>Group 1</w:t>
            </w:r>
            <w:r>
              <w:rPr>
                <w:rFonts w:ascii="Times New Roman" w:eastAsia="Times New Roman" w:hAnsi="Times New Roman" w:cs="Times New Roman"/>
                <w:b/>
                <w:color w:val="000000"/>
              </w:rPr>
              <w:br/>
              <w:t>(N=48)</w:t>
            </w:r>
          </w:p>
        </w:tc>
        <w:tc>
          <w:tcPr>
            <w:tcW w:w="1740" w:type="dxa"/>
            <w:vAlign w:val="bottom"/>
          </w:tcPr>
          <w:p w:rsidR="00D7428E" w:rsidRDefault="00D7428E" w:rsidP="00233096">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Control group</w:t>
            </w:r>
            <w:r>
              <w:rPr>
                <w:rFonts w:ascii="Times New Roman" w:eastAsia="Times New Roman" w:hAnsi="Times New Roman" w:cs="Times New Roman"/>
                <w:b/>
                <w:color w:val="000000"/>
              </w:rPr>
              <w:br/>
              <w:t>(N=47)</w:t>
            </w:r>
          </w:p>
        </w:tc>
        <w:tc>
          <w:tcPr>
            <w:tcW w:w="1740" w:type="dxa"/>
          </w:tcPr>
          <w:p w:rsidR="00D7428E" w:rsidRDefault="00D7428E" w:rsidP="00233096">
            <w:pPr>
              <w:rPr>
                <w:rtl/>
                <w:lang w:bidi="ar-EG"/>
              </w:rPr>
            </w:pPr>
          </w:p>
          <w:p w:rsidR="00D7428E" w:rsidRDefault="00D7428E" w:rsidP="00233096">
            <w:pPr>
              <w:rPr>
                <w:rtl/>
                <w:lang w:bidi="ar-EG"/>
              </w:rPr>
            </w:pPr>
          </w:p>
        </w:tc>
      </w:tr>
      <w:tr w:rsidR="00D7428E" w:rsidTr="00233096">
        <w:trPr>
          <w:trHeight w:val="3952"/>
        </w:trPr>
        <w:tc>
          <w:tcPr>
            <w:tcW w:w="1739" w:type="dxa"/>
            <w:vAlign w:val="bottom"/>
          </w:tcPr>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0.653</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0.8545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0.1554</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0.1645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0.0087</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&lt;0.0001</w:t>
            </w:r>
          </w:p>
          <w:p w:rsidR="00D7428E" w:rsidRDefault="00D7428E" w:rsidP="00233096">
            <w:pPr>
              <w:jc w:val="center"/>
              <w:rPr>
                <w:rFonts w:ascii="Times New Roman" w:eastAsia="Times New Roman" w:hAnsi="Times New Roman" w:cs="Times New Roman"/>
                <w:color w:val="000000"/>
                <w:rtl/>
                <w:lang w:bidi="ar-EG"/>
              </w:rPr>
            </w:pPr>
            <w:r>
              <w:rPr>
                <w:rFonts w:ascii="Times New Roman" w:eastAsia="Times New Roman" w:hAnsi="Times New Roman" w:cs="Times New Roman"/>
                <w:color w:val="000000"/>
              </w:rPr>
              <w:t>&lt;0.0001</w:t>
            </w:r>
          </w:p>
        </w:tc>
        <w:tc>
          <w:tcPr>
            <w:tcW w:w="1739" w:type="dxa"/>
            <w:vAlign w:val="bottom"/>
          </w:tcPr>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rPr>
              <w:t>57.94</w:t>
            </w:r>
            <w:r>
              <w:rPr>
                <w:rFonts w:ascii="Times New Roman" w:eastAsia="Times New Roman" w:hAnsi="Times New Roman" w:cs="Times New Roman"/>
                <w:color w:val="000000"/>
              </w:rPr>
              <w:t xml:space="preserve"> ±</w:t>
            </w:r>
            <w:r>
              <w:rPr>
                <w:rFonts w:ascii="Times New Roman" w:eastAsia="Times New Roman" w:hAnsi="Times New Roman" w:cs="Times New Roman"/>
              </w:rPr>
              <w:t>8.85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23   (46.9%)</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33(67.35%)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 ± 0.5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66.1 ± 63.1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92.3 ± 76.2</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3.7 ± 4.3</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29.4 ± 6.9</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113.1 ± 15.5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72.6 ± 7.6</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8.6 ± 1.1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10.2 ± 1.4</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 ± 0.5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99245 ± 50989</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15.6 ± 2.1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17.5 ± 2.7</w:t>
            </w:r>
          </w:p>
          <w:p w:rsidR="00D7428E" w:rsidRDefault="00D7428E" w:rsidP="00233096">
            <w:pPr>
              <w:jc w:val="center"/>
              <w:rPr>
                <w:rFonts w:ascii="Times New Roman" w:eastAsia="Times New Roman" w:hAnsi="Times New Roman" w:cs="Times New Roman"/>
                <w:color w:val="000000"/>
                <w:rtl/>
                <w:lang w:bidi="ar-EG"/>
              </w:rPr>
            </w:pPr>
            <w:r>
              <w:rPr>
                <w:rFonts w:ascii="Times New Roman" w:eastAsia="Times New Roman" w:hAnsi="Times New Roman" w:cs="Times New Roman"/>
                <w:color w:val="000000"/>
              </w:rPr>
              <w:t>13.7 ± 1.7</w:t>
            </w:r>
          </w:p>
        </w:tc>
        <w:tc>
          <w:tcPr>
            <w:tcW w:w="1739" w:type="dxa"/>
            <w:vAlign w:val="bottom"/>
          </w:tcPr>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rPr>
              <w:t>57.86</w:t>
            </w:r>
            <w:r>
              <w:rPr>
                <w:rFonts w:ascii="Times New Roman" w:eastAsia="Times New Roman" w:hAnsi="Times New Roman" w:cs="Times New Roman"/>
                <w:color w:val="000000"/>
              </w:rPr>
              <w:t xml:space="preserve"> ±</w:t>
            </w:r>
            <w:r>
              <w:rPr>
                <w:rFonts w:ascii="Times New Roman" w:eastAsia="Times New Roman" w:hAnsi="Times New Roman" w:cs="Times New Roman"/>
              </w:rPr>
              <w:t>7.59</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 (41.7%)</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28(58.3%)</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 ± 0.4</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59.1 ± 22.3</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79.3 ± 33.2</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2.2 ± 1.7</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28.0 ± 5.5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119.3 ± 18.0</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74.0 ± 8.7</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4.6 ± 0.4</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10.6 ± 1.3</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 ± 0.5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114581 ± 121E3</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16.5 ± 1.8</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17.8 ± 2.1</w:t>
            </w:r>
          </w:p>
          <w:p w:rsidR="00D7428E" w:rsidRDefault="00D7428E" w:rsidP="00233096">
            <w:pPr>
              <w:jc w:val="center"/>
              <w:rPr>
                <w:rFonts w:ascii="Times New Roman" w:eastAsia="Times New Roman" w:hAnsi="Times New Roman" w:cs="Times New Roman"/>
                <w:color w:val="000000"/>
                <w:rtl/>
                <w:lang w:bidi="ar-EG"/>
              </w:rPr>
            </w:pPr>
            <w:r>
              <w:rPr>
                <w:rFonts w:ascii="Times New Roman" w:eastAsia="Times New Roman" w:hAnsi="Times New Roman" w:cs="Times New Roman"/>
                <w:color w:val="000000"/>
              </w:rPr>
              <w:t>14.0 ± 1.2</w:t>
            </w:r>
          </w:p>
        </w:tc>
        <w:tc>
          <w:tcPr>
            <w:tcW w:w="1740" w:type="dxa"/>
            <w:vAlign w:val="bottom"/>
          </w:tcPr>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55.14 ± 10</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 (42.6%)</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4.8 ± 0.5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20.6 ± 6.1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21.9 ± 6.4</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0.9 ± 0.1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26.5 ± 3.5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117.9 ± 4.1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76.9 ± 4.6</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4.6 ± 0.4</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12.0 ± 1.2</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 ± 0.2</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245553 ± 53721</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8.8 ± 1.5</w:t>
            </w:r>
          </w:p>
          <w:p w:rsidR="00D7428E" w:rsidRDefault="00D7428E" w:rsidP="002330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9.2 ± 1.3</w:t>
            </w:r>
          </w:p>
          <w:p w:rsidR="00D7428E" w:rsidRDefault="00D7428E" w:rsidP="00233096">
            <w:pPr>
              <w:jc w:val="center"/>
              <w:rPr>
                <w:rFonts w:ascii="Times New Roman" w:eastAsia="Times New Roman" w:hAnsi="Times New Roman" w:cs="Times New Roman"/>
                <w:color w:val="000000"/>
                <w:rtl/>
                <w:lang w:bidi="ar-EG"/>
              </w:rPr>
            </w:pPr>
            <w:r>
              <w:rPr>
                <w:rFonts w:ascii="Times New Roman" w:eastAsia="Times New Roman" w:hAnsi="Times New Roman" w:cs="Times New Roman"/>
                <w:color w:val="000000"/>
              </w:rPr>
              <w:t>9.4 ± 1.3</w:t>
            </w:r>
          </w:p>
        </w:tc>
        <w:tc>
          <w:tcPr>
            <w:tcW w:w="1740" w:type="dxa"/>
          </w:tcPr>
          <w:p w:rsidR="00D7428E" w:rsidRPr="00923FA3" w:rsidRDefault="00D7428E" w:rsidP="00233096">
            <w:pPr>
              <w:jc w:val="center"/>
              <w:rPr>
                <w:b/>
                <w:bCs/>
                <w:rtl/>
                <w:lang w:bidi="ar-EG"/>
              </w:rPr>
            </w:pPr>
            <w:r w:rsidRPr="00923FA3">
              <w:rPr>
                <w:b/>
                <w:bCs/>
                <w:lang w:bidi="ar-EG"/>
              </w:rPr>
              <w:t>Age</w:t>
            </w:r>
          </w:p>
          <w:p w:rsidR="00D7428E" w:rsidRPr="00923FA3" w:rsidRDefault="00D7428E" w:rsidP="00233096">
            <w:pPr>
              <w:jc w:val="center"/>
              <w:rPr>
                <w:b/>
                <w:bCs/>
                <w:lang w:bidi="ar-EG"/>
              </w:rPr>
            </w:pPr>
            <w:r w:rsidRPr="00923FA3">
              <w:rPr>
                <w:b/>
                <w:bCs/>
                <w:lang w:bidi="ar-EG"/>
              </w:rPr>
              <w:t>Female</w:t>
            </w:r>
          </w:p>
          <w:p w:rsidR="00D7428E" w:rsidRPr="00923FA3" w:rsidRDefault="00D7428E" w:rsidP="00233096">
            <w:pPr>
              <w:jc w:val="center"/>
              <w:rPr>
                <w:b/>
                <w:bCs/>
                <w:lang w:bidi="ar-EG"/>
              </w:rPr>
            </w:pPr>
            <w:r w:rsidRPr="00923FA3">
              <w:rPr>
                <w:b/>
                <w:bCs/>
                <w:lang w:bidi="ar-EG"/>
              </w:rPr>
              <w:t>Ascites</w:t>
            </w:r>
          </w:p>
          <w:p w:rsidR="00D7428E" w:rsidRPr="00923FA3" w:rsidRDefault="00D7428E" w:rsidP="00233096">
            <w:pPr>
              <w:jc w:val="center"/>
              <w:rPr>
                <w:b/>
                <w:bCs/>
                <w:lang w:bidi="ar-EG"/>
              </w:rPr>
            </w:pPr>
            <w:r w:rsidRPr="00923FA3">
              <w:rPr>
                <w:b/>
                <w:bCs/>
                <w:lang w:bidi="ar-EG"/>
              </w:rPr>
              <w:t>ALT</w:t>
            </w:r>
          </w:p>
          <w:p w:rsidR="00D7428E" w:rsidRPr="00923FA3" w:rsidRDefault="00D7428E" w:rsidP="00233096">
            <w:pPr>
              <w:jc w:val="center"/>
              <w:rPr>
                <w:b/>
                <w:bCs/>
                <w:lang w:bidi="ar-EG"/>
              </w:rPr>
            </w:pPr>
            <w:r w:rsidRPr="00923FA3">
              <w:rPr>
                <w:b/>
                <w:bCs/>
                <w:lang w:bidi="ar-EG"/>
              </w:rPr>
              <w:t>AST</w:t>
            </w:r>
          </w:p>
          <w:p w:rsidR="00D7428E" w:rsidRPr="00923FA3" w:rsidRDefault="00D7428E" w:rsidP="00233096">
            <w:pPr>
              <w:jc w:val="center"/>
              <w:rPr>
                <w:b/>
                <w:bCs/>
                <w:lang w:bidi="ar-EG"/>
              </w:rPr>
            </w:pPr>
            <w:r w:rsidRPr="00923FA3">
              <w:rPr>
                <w:b/>
                <w:bCs/>
                <w:lang w:bidi="ar-EG"/>
              </w:rPr>
              <w:t>Bilirubin</w:t>
            </w:r>
          </w:p>
          <w:p w:rsidR="00D7428E" w:rsidRPr="00923FA3" w:rsidRDefault="00D7428E" w:rsidP="00233096">
            <w:pPr>
              <w:jc w:val="center"/>
              <w:rPr>
                <w:b/>
                <w:bCs/>
                <w:lang w:bidi="ar-EG"/>
              </w:rPr>
            </w:pPr>
            <w:r w:rsidRPr="00923FA3">
              <w:rPr>
                <w:b/>
                <w:bCs/>
                <w:lang w:bidi="ar-EG"/>
              </w:rPr>
              <w:t>BMI</w:t>
            </w:r>
          </w:p>
          <w:p w:rsidR="00D7428E" w:rsidRPr="00923FA3" w:rsidRDefault="00D7428E" w:rsidP="00233096">
            <w:pPr>
              <w:jc w:val="center"/>
              <w:rPr>
                <w:b/>
                <w:bCs/>
                <w:lang w:bidi="ar-EG"/>
              </w:rPr>
            </w:pPr>
            <w:r w:rsidRPr="00923FA3">
              <w:rPr>
                <w:b/>
                <w:bCs/>
                <w:lang w:bidi="ar-EG"/>
              </w:rPr>
              <w:t>Systolic BP</w:t>
            </w:r>
          </w:p>
          <w:p w:rsidR="00D7428E" w:rsidRPr="00923FA3" w:rsidRDefault="00D7428E" w:rsidP="00233096">
            <w:pPr>
              <w:jc w:val="center"/>
              <w:rPr>
                <w:b/>
                <w:bCs/>
                <w:lang w:bidi="ar-EG"/>
              </w:rPr>
            </w:pPr>
            <w:r w:rsidRPr="00923FA3">
              <w:rPr>
                <w:b/>
                <w:bCs/>
                <w:lang w:bidi="ar-EG"/>
              </w:rPr>
              <w:t>Diastolic BP</w:t>
            </w:r>
          </w:p>
          <w:p w:rsidR="00D7428E" w:rsidRPr="00923FA3" w:rsidRDefault="00D7428E" w:rsidP="00233096">
            <w:pPr>
              <w:jc w:val="center"/>
              <w:rPr>
                <w:b/>
                <w:bCs/>
                <w:lang w:bidi="ar-EG"/>
              </w:rPr>
            </w:pPr>
            <w:r w:rsidRPr="00923FA3">
              <w:rPr>
                <w:b/>
                <w:bCs/>
                <w:lang w:bidi="ar-EG"/>
              </w:rPr>
              <w:t>HbA1c</w:t>
            </w:r>
          </w:p>
          <w:p w:rsidR="00D7428E" w:rsidRPr="00923FA3" w:rsidRDefault="00D7428E" w:rsidP="00233096">
            <w:pPr>
              <w:jc w:val="center"/>
              <w:rPr>
                <w:b/>
                <w:bCs/>
                <w:lang w:bidi="ar-EG"/>
              </w:rPr>
            </w:pPr>
            <w:r w:rsidRPr="00923FA3">
              <w:rPr>
                <w:b/>
                <w:bCs/>
                <w:lang w:bidi="ar-EG"/>
              </w:rPr>
              <w:t>Hb</w:t>
            </w:r>
          </w:p>
          <w:p w:rsidR="00D7428E" w:rsidRPr="00923FA3" w:rsidRDefault="00D7428E" w:rsidP="00233096">
            <w:pPr>
              <w:jc w:val="center"/>
              <w:rPr>
                <w:b/>
                <w:bCs/>
                <w:lang w:bidi="ar-EG"/>
              </w:rPr>
            </w:pPr>
            <w:r w:rsidRPr="00923FA3">
              <w:rPr>
                <w:b/>
                <w:bCs/>
                <w:lang w:bidi="ar-EG"/>
              </w:rPr>
              <w:t>INR</w:t>
            </w:r>
          </w:p>
          <w:p w:rsidR="00D7428E" w:rsidRPr="00923FA3" w:rsidRDefault="00D7428E" w:rsidP="00233096">
            <w:pPr>
              <w:jc w:val="center"/>
              <w:rPr>
                <w:b/>
                <w:bCs/>
                <w:lang w:bidi="ar-EG"/>
              </w:rPr>
            </w:pPr>
            <w:r w:rsidRPr="00923FA3">
              <w:rPr>
                <w:b/>
                <w:bCs/>
                <w:lang w:bidi="ar-EG"/>
              </w:rPr>
              <w:t>Platelets</w:t>
            </w:r>
          </w:p>
          <w:p w:rsidR="00D7428E" w:rsidRPr="00923FA3" w:rsidRDefault="00D7428E" w:rsidP="00233096">
            <w:pPr>
              <w:jc w:val="center"/>
              <w:rPr>
                <w:b/>
                <w:bCs/>
                <w:lang w:bidi="ar-EG"/>
              </w:rPr>
            </w:pPr>
            <w:r w:rsidRPr="00923FA3">
              <w:rPr>
                <w:b/>
                <w:bCs/>
                <w:lang w:bidi="ar-EG"/>
              </w:rPr>
              <w:t>PV Diameter</w:t>
            </w:r>
          </w:p>
          <w:p w:rsidR="00D7428E" w:rsidRPr="00923FA3" w:rsidRDefault="00D7428E" w:rsidP="00233096">
            <w:pPr>
              <w:jc w:val="center"/>
              <w:rPr>
                <w:b/>
                <w:bCs/>
                <w:lang w:bidi="ar-EG"/>
              </w:rPr>
            </w:pPr>
            <w:r w:rsidRPr="00923FA3">
              <w:rPr>
                <w:b/>
                <w:bCs/>
                <w:lang w:bidi="ar-EG"/>
              </w:rPr>
              <w:t>Spleen Size</w:t>
            </w:r>
          </w:p>
          <w:p w:rsidR="00D7428E" w:rsidRDefault="00D7428E" w:rsidP="00233096">
            <w:pPr>
              <w:jc w:val="center"/>
              <w:rPr>
                <w:rtl/>
                <w:lang w:bidi="ar-EG"/>
              </w:rPr>
            </w:pPr>
            <w:r w:rsidRPr="00923FA3">
              <w:rPr>
                <w:b/>
                <w:bCs/>
                <w:lang w:bidi="ar-EG"/>
              </w:rPr>
              <w:t>Splenic vein</w:t>
            </w:r>
          </w:p>
        </w:tc>
      </w:tr>
    </w:tbl>
    <w:p w:rsidR="00D7428E" w:rsidRDefault="00D7428E" w:rsidP="00D7428E">
      <w:pPr>
        <w:rPr>
          <w:rtl/>
          <w:lang w:bidi="ar-EG"/>
        </w:rPr>
      </w:pPr>
    </w:p>
    <w:p w:rsidR="0047608C" w:rsidRPr="00B44A79" w:rsidRDefault="0047608C" w:rsidP="00B44A79">
      <w:pPr>
        <w:bidi w:val="0"/>
        <w:spacing w:line="400" w:lineRule="atLeast"/>
        <w:jc w:val="right"/>
        <w:rPr>
          <w:rFonts w:asciiTheme="majorBidi" w:hAnsiTheme="majorBidi" w:cstheme="majorBidi"/>
          <w:sz w:val="20"/>
          <w:szCs w:val="20"/>
          <w:lang w:bidi="ar-EG"/>
        </w:rPr>
      </w:pPr>
    </w:p>
    <w:sectPr w:rsidR="0047608C" w:rsidRPr="00B44A79" w:rsidSect="00D02B69">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279" w:rsidRDefault="00C22279" w:rsidP="000B14CF">
      <w:pPr>
        <w:spacing w:after="0" w:line="240" w:lineRule="auto"/>
      </w:pPr>
      <w:r>
        <w:separator/>
      </w:r>
    </w:p>
  </w:endnote>
  <w:endnote w:type="continuationSeparator" w:id="1">
    <w:p w:rsidR="00C22279" w:rsidRDefault="00C22279" w:rsidP="000B14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00311"/>
      <w:docPartObj>
        <w:docPartGallery w:val="Page Numbers (Bottom of Page)"/>
        <w:docPartUnique/>
      </w:docPartObj>
    </w:sdtPr>
    <w:sdtContent>
      <w:p w:rsidR="000B14CF" w:rsidRDefault="00826D89">
        <w:pPr>
          <w:pStyle w:val="Footer"/>
        </w:pPr>
        <w:fldSimple w:instr=" PAGE   \* MERGEFORMAT ">
          <w:r w:rsidR="00D7428E">
            <w:rPr>
              <w:noProof/>
              <w:rtl/>
            </w:rPr>
            <w:t>3</w:t>
          </w:r>
        </w:fldSimple>
      </w:p>
    </w:sdtContent>
  </w:sdt>
  <w:p w:rsidR="000B14CF" w:rsidRDefault="000B14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279" w:rsidRDefault="00C22279" w:rsidP="000B14CF">
      <w:pPr>
        <w:spacing w:after="0" w:line="240" w:lineRule="auto"/>
      </w:pPr>
      <w:r>
        <w:separator/>
      </w:r>
    </w:p>
  </w:footnote>
  <w:footnote w:type="continuationSeparator" w:id="1">
    <w:p w:rsidR="00C22279" w:rsidRDefault="00C22279" w:rsidP="000B14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270E9"/>
    <w:multiLevelType w:val="hybridMultilevel"/>
    <w:tmpl w:val="D5C45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DA7872"/>
    <w:multiLevelType w:val="hybridMultilevel"/>
    <w:tmpl w:val="C43E16AC"/>
    <w:lvl w:ilvl="0" w:tplc="2278D672">
      <w:start w:val="1"/>
      <w:numFmt w:val="decimal"/>
      <w:lvlText w:val="%1-"/>
      <w:lvlJc w:val="left"/>
      <w:pPr>
        <w:ind w:left="720" w:hanging="360"/>
      </w:pPr>
      <w:rPr>
        <w:rFonts w:asciiTheme="minorHAnsi" w:eastAsiaTheme="minorEastAsia" w:hAnsiTheme="minorHAnsi" w:cstheme="minorBid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A113DA"/>
    <w:rsid w:val="000166FF"/>
    <w:rsid w:val="000B14CF"/>
    <w:rsid w:val="0013725E"/>
    <w:rsid w:val="001F5DB1"/>
    <w:rsid w:val="002316B3"/>
    <w:rsid w:val="00235C42"/>
    <w:rsid w:val="00291A34"/>
    <w:rsid w:val="003654AC"/>
    <w:rsid w:val="003F5167"/>
    <w:rsid w:val="00433FA2"/>
    <w:rsid w:val="0047608C"/>
    <w:rsid w:val="004D254A"/>
    <w:rsid w:val="0065107B"/>
    <w:rsid w:val="00662D8E"/>
    <w:rsid w:val="006A2A1E"/>
    <w:rsid w:val="006C7FF4"/>
    <w:rsid w:val="00766AC2"/>
    <w:rsid w:val="00821F0A"/>
    <w:rsid w:val="00826D89"/>
    <w:rsid w:val="008B4CE2"/>
    <w:rsid w:val="008E4351"/>
    <w:rsid w:val="009F43A8"/>
    <w:rsid w:val="00A03568"/>
    <w:rsid w:val="00A113DA"/>
    <w:rsid w:val="00AB7770"/>
    <w:rsid w:val="00B148ED"/>
    <w:rsid w:val="00B16D4D"/>
    <w:rsid w:val="00B261A3"/>
    <w:rsid w:val="00B44A79"/>
    <w:rsid w:val="00C22279"/>
    <w:rsid w:val="00C71688"/>
    <w:rsid w:val="00CA23D8"/>
    <w:rsid w:val="00D02B69"/>
    <w:rsid w:val="00D7428E"/>
    <w:rsid w:val="00DA198B"/>
    <w:rsid w:val="00EF66B8"/>
    <w:rsid w:val="00FC1D63"/>
    <w:rsid w:val="00FE0D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6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13DA"/>
    <w:pPr>
      <w:bidi/>
      <w:spacing w:after="0" w:line="240" w:lineRule="auto"/>
    </w:pPr>
    <w:rPr>
      <w:rFonts w:eastAsiaTheme="minorHAnsi"/>
    </w:rPr>
  </w:style>
  <w:style w:type="table" w:styleId="TableGrid">
    <w:name w:val="Table Grid"/>
    <w:basedOn w:val="TableNormal"/>
    <w:uiPriority w:val="59"/>
    <w:rsid w:val="00A113DA"/>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B14CF"/>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0B14CF"/>
  </w:style>
  <w:style w:type="paragraph" w:styleId="Footer">
    <w:name w:val="footer"/>
    <w:basedOn w:val="Normal"/>
    <w:link w:val="FooterChar"/>
    <w:uiPriority w:val="99"/>
    <w:unhideWhenUsed/>
    <w:rsid w:val="000B14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0B14CF"/>
  </w:style>
  <w:style w:type="paragraph" w:styleId="ListParagraph">
    <w:name w:val="List Paragraph"/>
    <w:basedOn w:val="Normal"/>
    <w:uiPriority w:val="34"/>
    <w:qFormat/>
    <w:rsid w:val="0047608C"/>
    <w:pPr>
      <w:bidi w:val="0"/>
      <w:ind w:left="720"/>
      <w:contextualSpacing/>
    </w:pPr>
  </w:style>
  <w:style w:type="paragraph" w:styleId="BodyText">
    <w:name w:val="Body Text"/>
    <w:basedOn w:val="Normal"/>
    <w:link w:val="BodyTextChar"/>
    <w:uiPriority w:val="1"/>
    <w:qFormat/>
    <w:rsid w:val="0047608C"/>
    <w:pPr>
      <w:widowControl w:val="0"/>
      <w:autoSpaceDE w:val="0"/>
      <w:autoSpaceDN w:val="0"/>
      <w:bidi w:val="0"/>
      <w:spacing w:after="0" w:line="240" w:lineRule="auto"/>
    </w:pPr>
    <w:rPr>
      <w:rFonts w:ascii="Arial" w:eastAsia="Arial" w:hAnsi="Arial" w:cs="Arial"/>
      <w:b/>
      <w:bCs/>
      <w:i/>
      <w:sz w:val="24"/>
      <w:szCs w:val="24"/>
      <w:u w:val="single" w:color="000000"/>
      <w:lang w:val="en-GB" w:eastAsia="en-GB" w:bidi="en-GB"/>
    </w:rPr>
  </w:style>
  <w:style w:type="character" w:customStyle="1" w:styleId="BodyTextChar">
    <w:name w:val="Body Text Char"/>
    <w:basedOn w:val="DefaultParagraphFont"/>
    <w:link w:val="BodyText"/>
    <w:uiPriority w:val="1"/>
    <w:rsid w:val="0047608C"/>
    <w:rPr>
      <w:rFonts w:ascii="Arial" w:eastAsia="Arial" w:hAnsi="Arial" w:cs="Arial"/>
      <w:b/>
      <w:bCs/>
      <w:i/>
      <w:sz w:val="24"/>
      <w:szCs w:val="24"/>
      <w:u w:val="single" w:color="000000"/>
      <w:lang w:val="en-GB" w:eastAsia="en-GB" w:bidi="en-GB"/>
    </w:rPr>
  </w:style>
  <w:style w:type="paragraph" w:customStyle="1" w:styleId="TableParagraph">
    <w:name w:val="Table Paragraph"/>
    <w:basedOn w:val="Normal"/>
    <w:uiPriority w:val="1"/>
    <w:qFormat/>
    <w:rsid w:val="0047608C"/>
    <w:pPr>
      <w:widowControl w:val="0"/>
      <w:autoSpaceDE w:val="0"/>
      <w:autoSpaceDN w:val="0"/>
      <w:bidi w:val="0"/>
      <w:spacing w:before="136" w:after="0" w:line="240" w:lineRule="auto"/>
      <w:ind w:left="132"/>
      <w:jc w:val="center"/>
    </w:pPr>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D742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2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105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Hamada</dc:creator>
  <cp:lastModifiedBy>Hamada</cp:lastModifiedBy>
  <cp:revision>4</cp:revision>
  <dcterms:created xsi:type="dcterms:W3CDTF">2020-02-02T12:28:00Z</dcterms:created>
  <dcterms:modified xsi:type="dcterms:W3CDTF">2020-02-02T12:35:00Z</dcterms:modified>
</cp:coreProperties>
</file>