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511E8" w14:textId="77777777" w:rsidR="00650050" w:rsidRDefault="00650050" w:rsidP="00A2507E">
      <w:pPr>
        <w:pStyle w:val="Ttulo1"/>
        <w:tabs>
          <w:tab w:val="left" w:pos="1584"/>
        </w:tabs>
        <w:spacing w:before="170"/>
        <w:ind w:left="0"/>
        <w:rPr>
          <w:color w:val="000000"/>
          <w:shd w:val="clear" w:color="auto" w:fill="FFFFFF"/>
        </w:rPr>
      </w:pPr>
      <w:r>
        <w:rPr>
          <w:color w:val="000000"/>
          <w:shd w:val="clear" w:color="auto" w:fill="FFFFFF"/>
        </w:rPr>
        <w:t>EDC-ABS-119</w:t>
      </w:r>
    </w:p>
    <w:p w14:paraId="65EFF2CF" w14:textId="57B5F501" w:rsidR="00AE3E37" w:rsidRPr="003C648F" w:rsidRDefault="00A2507E" w:rsidP="00A2507E">
      <w:pPr>
        <w:pStyle w:val="Ttulo1"/>
        <w:tabs>
          <w:tab w:val="left" w:pos="1584"/>
        </w:tabs>
        <w:spacing w:before="170"/>
        <w:ind w:left="0"/>
        <w:rPr>
          <w:rFonts w:ascii="Montserrat" w:hAnsi="Montserrat"/>
          <w:sz w:val="32"/>
          <w:szCs w:val="34"/>
        </w:rPr>
      </w:pPr>
      <w:r w:rsidRPr="003C648F">
        <w:rPr>
          <w:rFonts w:ascii="Montserrat" w:hAnsi="Montserrat"/>
          <w:color w:val="337AB7"/>
          <w:sz w:val="32"/>
          <w:szCs w:val="34"/>
        </w:rPr>
        <w:t>The effects of professional continuous glucose monitoring as an adjuvant educational tool for improving glycemic control in patients with type 2 diabetes: A pilot study in Mexico</w:t>
      </w:r>
    </w:p>
    <w:p w14:paraId="053879B4" w14:textId="77777777" w:rsidR="00287CCA" w:rsidRPr="00650050" w:rsidRDefault="00A2507E" w:rsidP="00287CCA">
      <w:pPr>
        <w:pStyle w:val="Textoindependiente"/>
        <w:spacing w:line="198" w:lineRule="exact"/>
        <w:ind w:left="100" w:right="58"/>
        <w:rPr>
          <w:rFonts w:ascii="Montserrat" w:hAnsi="Montserrat"/>
          <w:sz w:val="16"/>
          <w:szCs w:val="16"/>
          <w:lang w:val="es-MX"/>
        </w:rPr>
      </w:pPr>
      <w:r w:rsidRPr="00650050">
        <w:rPr>
          <w:rFonts w:ascii="Montserrat" w:hAnsi="Montserrat"/>
          <w:sz w:val="16"/>
          <w:szCs w:val="16"/>
          <w:lang w:val="es-MX"/>
        </w:rPr>
        <w:t xml:space="preserve">Dulce Adelaida Rivera-Ávila. </w:t>
      </w:r>
      <w:r w:rsidRPr="003C648F">
        <w:rPr>
          <w:rFonts w:ascii="Montserrat" w:hAnsi="Montserrat"/>
          <w:sz w:val="16"/>
          <w:szCs w:val="16"/>
          <w:lang w:val="es-MX"/>
        </w:rPr>
        <w:t xml:space="preserve">MD. Especialista en Medicina Familiar. </w:t>
      </w:r>
      <w:r w:rsidRPr="00650050">
        <w:rPr>
          <w:rFonts w:ascii="Montserrat" w:hAnsi="Montserrat"/>
          <w:sz w:val="16"/>
          <w:szCs w:val="16"/>
          <w:lang w:val="es-MX"/>
        </w:rPr>
        <w:t xml:space="preserve">Clínica de Medicina Familiar Oriente. ISSSTE. México City </w:t>
      </w:r>
    </w:p>
    <w:p w14:paraId="2BAE7319" w14:textId="37A9F96C" w:rsidR="00A2507E" w:rsidRPr="003C648F" w:rsidRDefault="00A2507E" w:rsidP="00287CCA">
      <w:pPr>
        <w:pStyle w:val="Textoindependiente"/>
        <w:spacing w:line="198" w:lineRule="exact"/>
        <w:ind w:left="100" w:right="58"/>
        <w:rPr>
          <w:rFonts w:ascii="Montserrat" w:hAnsi="Montserrat"/>
          <w:sz w:val="16"/>
          <w:szCs w:val="16"/>
          <w:lang w:val="es-MX"/>
        </w:rPr>
      </w:pPr>
      <w:r w:rsidRPr="003C648F">
        <w:rPr>
          <w:rFonts w:ascii="Montserrat" w:hAnsi="Montserrat"/>
          <w:sz w:val="16"/>
          <w:szCs w:val="16"/>
          <w:lang w:val="es-MX"/>
        </w:rPr>
        <w:t xml:space="preserve">E-mail: </w:t>
      </w:r>
      <w:hyperlink r:id="rId7" w:history="1">
        <w:r w:rsidR="00F70B13" w:rsidRPr="0085600B">
          <w:rPr>
            <w:rStyle w:val="Hipervnculo"/>
            <w:rFonts w:ascii="Montserrat" w:hAnsi="Montserrat"/>
            <w:sz w:val="16"/>
            <w:szCs w:val="16"/>
            <w:lang w:val="es-MX"/>
          </w:rPr>
          <w:t>dradulcedul@gmail.com</w:t>
        </w:r>
      </w:hyperlink>
      <w:r w:rsidR="00F70B13">
        <w:rPr>
          <w:rFonts w:ascii="Montserrat" w:hAnsi="Montserrat"/>
          <w:sz w:val="16"/>
          <w:szCs w:val="16"/>
          <w:lang w:val="es-MX"/>
        </w:rPr>
        <w:t xml:space="preserve"> *</w:t>
      </w:r>
    </w:p>
    <w:p w14:paraId="5E824B9D" w14:textId="0E241795" w:rsidR="00A2507E" w:rsidRPr="003C648F" w:rsidRDefault="00287CCA" w:rsidP="00287CCA">
      <w:pPr>
        <w:pStyle w:val="Textoindependiente"/>
        <w:spacing w:line="198" w:lineRule="exact"/>
        <w:ind w:left="100" w:right="58"/>
        <w:rPr>
          <w:rFonts w:ascii="Montserrat" w:hAnsi="Montserrat"/>
          <w:sz w:val="16"/>
          <w:szCs w:val="16"/>
          <w:lang w:val="es-MX"/>
        </w:rPr>
      </w:pPr>
      <w:r w:rsidRPr="00287CCA">
        <w:rPr>
          <w:noProof/>
        </w:rPr>
        <w:drawing>
          <wp:anchor distT="0" distB="0" distL="114300" distR="114300" simplePos="0" relativeHeight="251681792" behindDoc="0" locked="0" layoutInCell="1" allowOverlap="1" wp14:anchorId="675B547C" wp14:editId="03C239E6">
            <wp:simplePos x="0" y="0"/>
            <wp:positionH relativeFrom="column">
              <wp:posOffset>4860018</wp:posOffset>
            </wp:positionH>
            <wp:positionV relativeFrom="paragraph">
              <wp:posOffset>15240</wp:posOffset>
            </wp:positionV>
            <wp:extent cx="1995746" cy="914400"/>
            <wp:effectExtent l="0" t="0" r="5080" b="0"/>
            <wp:wrapNone/>
            <wp:docPr id="6" name="Imagen 12">
              <a:extLst xmlns:a="http://schemas.openxmlformats.org/drawingml/2006/main">
                <a:ext uri="{FF2B5EF4-FFF2-40B4-BE49-F238E27FC236}">
                  <a16:creationId xmlns:a16="http://schemas.microsoft.com/office/drawing/2014/main" id="{AB1A605F-263F-443B-9A3E-482C5A1D85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2">
                      <a:extLst>
                        <a:ext uri="{FF2B5EF4-FFF2-40B4-BE49-F238E27FC236}">
                          <a16:creationId xmlns:a16="http://schemas.microsoft.com/office/drawing/2014/main" id="{AB1A605F-263F-443B-9A3E-482C5A1D8591}"/>
                        </a:ext>
                      </a:extLst>
                    </pic:cNvPr>
                    <pic:cNvPicPr>
                      <a:picLocks noChangeAspect="1"/>
                    </pic:cNvPicPr>
                  </pic:nvPicPr>
                  <pic:blipFill rotWithShape="1">
                    <a:blip r:embed="rId8"/>
                    <a:srcRect t="21490"/>
                    <a:stretch/>
                  </pic:blipFill>
                  <pic:spPr>
                    <a:xfrm>
                      <a:off x="0" y="0"/>
                      <a:ext cx="1995746" cy="914400"/>
                    </a:xfrm>
                    <a:prstGeom prst="rect">
                      <a:avLst/>
                    </a:prstGeom>
                  </pic:spPr>
                </pic:pic>
              </a:graphicData>
            </a:graphic>
            <wp14:sizeRelH relativeFrom="margin">
              <wp14:pctWidth>0</wp14:pctWidth>
            </wp14:sizeRelH>
            <wp14:sizeRelV relativeFrom="margin">
              <wp14:pctHeight>0</wp14:pctHeight>
            </wp14:sizeRelV>
          </wp:anchor>
        </w:drawing>
      </w:r>
      <w:r w:rsidR="00A2507E" w:rsidRPr="003C648F">
        <w:rPr>
          <w:rFonts w:ascii="Montserrat" w:hAnsi="Montserrat"/>
          <w:sz w:val="16"/>
          <w:szCs w:val="16"/>
          <w:lang w:val="es-MX"/>
        </w:rPr>
        <w:t>Alejandro Iván Esquivel-Lu. MD. ISSSTE. México City</w:t>
      </w:r>
    </w:p>
    <w:p w14:paraId="2C3AA795" w14:textId="1F613353" w:rsidR="00A2507E" w:rsidRPr="003C648F" w:rsidRDefault="00A2507E" w:rsidP="00287CCA">
      <w:pPr>
        <w:pStyle w:val="Textoindependiente"/>
        <w:spacing w:line="198" w:lineRule="exact"/>
        <w:ind w:left="100" w:right="58"/>
        <w:rPr>
          <w:rFonts w:ascii="Montserrat" w:hAnsi="Montserrat"/>
          <w:sz w:val="16"/>
          <w:szCs w:val="16"/>
          <w:lang w:val="es-MX"/>
        </w:rPr>
      </w:pPr>
      <w:r w:rsidRPr="003C648F">
        <w:rPr>
          <w:rFonts w:ascii="Montserrat" w:hAnsi="Montserrat"/>
          <w:sz w:val="16"/>
          <w:szCs w:val="16"/>
          <w:lang w:val="es-MX"/>
        </w:rPr>
        <w:t xml:space="preserve">Carlos Rafael Salazar-Lozano. </w:t>
      </w:r>
      <w:r w:rsidRPr="00287CCA">
        <w:rPr>
          <w:rFonts w:ascii="Montserrat" w:hAnsi="Montserrat"/>
          <w:sz w:val="16"/>
          <w:szCs w:val="16"/>
          <w:lang w:val="es-MX"/>
        </w:rPr>
        <w:t xml:space="preserve">MD. Especialista en Cirugía General. </w:t>
      </w:r>
      <w:r w:rsidRPr="003C648F">
        <w:rPr>
          <w:rFonts w:ascii="Montserrat" w:hAnsi="Montserrat"/>
          <w:sz w:val="16"/>
          <w:szCs w:val="16"/>
          <w:lang w:val="es-MX"/>
        </w:rPr>
        <w:t>México City</w:t>
      </w:r>
    </w:p>
    <w:p w14:paraId="3B8D00CD" w14:textId="276DBF42" w:rsidR="00A2507E" w:rsidRPr="003C648F" w:rsidRDefault="00A2507E" w:rsidP="00287CCA">
      <w:pPr>
        <w:pStyle w:val="Textoindependiente"/>
        <w:spacing w:line="198" w:lineRule="exact"/>
        <w:ind w:left="100" w:right="58"/>
        <w:rPr>
          <w:rFonts w:ascii="Montserrat" w:hAnsi="Montserrat"/>
          <w:sz w:val="16"/>
          <w:szCs w:val="16"/>
          <w:lang w:val="es-MX"/>
        </w:rPr>
      </w:pPr>
      <w:r w:rsidRPr="003C648F">
        <w:rPr>
          <w:rFonts w:ascii="Montserrat" w:hAnsi="Montserrat"/>
          <w:sz w:val="16"/>
          <w:szCs w:val="16"/>
          <w:lang w:val="es-MX"/>
        </w:rPr>
        <w:t>Kyla Jones. México City</w:t>
      </w:r>
    </w:p>
    <w:p w14:paraId="3B71E76F" w14:textId="384F1175" w:rsidR="00AE3E37" w:rsidRPr="00650050" w:rsidRDefault="00287CCA" w:rsidP="00287CCA">
      <w:pPr>
        <w:pStyle w:val="Textoindependiente"/>
        <w:spacing w:line="198" w:lineRule="exact"/>
        <w:ind w:left="100" w:right="58"/>
        <w:rPr>
          <w:rFonts w:ascii="Montserrat" w:hAnsi="Montserrat"/>
          <w:sz w:val="16"/>
          <w:szCs w:val="16"/>
        </w:rPr>
      </w:pPr>
      <w:r w:rsidRPr="00287CCA">
        <w:rPr>
          <w:noProof/>
        </w:rPr>
        <w:drawing>
          <wp:anchor distT="0" distB="0" distL="114300" distR="114300" simplePos="0" relativeHeight="251678720" behindDoc="0" locked="0" layoutInCell="1" allowOverlap="1" wp14:anchorId="57813A1E" wp14:editId="13D58A33">
            <wp:simplePos x="0" y="0"/>
            <wp:positionH relativeFrom="column">
              <wp:posOffset>3661199</wp:posOffset>
            </wp:positionH>
            <wp:positionV relativeFrom="paragraph">
              <wp:posOffset>7408</wp:posOffset>
            </wp:positionV>
            <wp:extent cx="967812" cy="1219103"/>
            <wp:effectExtent l="0" t="0" r="3810" b="635"/>
            <wp:wrapNone/>
            <wp:docPr id="3" name="Imagen 9">
              <a:extLst xmlns:a="http://schemas.openxmlformats.org/drawingml/2006/main">
                <a:ext uri="{FF2B5EF4-FFF2-40B4-BE49-F238E27FC236}">
                  <a16:creationId xmlns:a16="http://schemas.microsoft.com/office/drawing/2014/main" id="{D7ACEE12-0F9C-4C60-B684-417A6B980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9">
                      <a:extLst>
                        <a:ext uri="{FF2B5EF4-FFF2-40B4-BE49-F238E27FC236}">
                          <a16:creationId xmlns:a16="http://schemas.microsoft.com/office/drawing/2014/main" id="{D7ACEE12-0F9C-4C60-B684-417A6B9800FF}"/>
                        </a:ext>
                      </a:extLst>
                    </pic:cNvPr>
                    <pic:cNvPicPr>
                      <a:picLocks noChangeAspect="1"/>
                    </pic:cNvPicPr>
                  </pic:nvPicPr>
                  <pic:blipFill>
                    <a:blip r:embed="rId9"/>
                    <a:stretch>
                      <a:fillRect/>
                    </a:stretch>
                  </pic:blipFill>
                  <pic:spPr>
                    <a:xfrm>
                      <a:off x="0" y="0"/>
                      <a:ext cx="967812" cy="1219103"/>
                    </a:xfrm>
                    <a:prstGeom prst="rect">
                      <a:avLst/>
                    </a:prstGeom>
                  </pic:spPr>
                </pic:pic>
              </a:graphicData>
            </a:graphic>
            <wp14:sizeRelH relativeFrom="margin">
              <wp14:pctWidth>0</wp14:pctWidth>
            </wp14:sizeRelH>
            <wp14:sizeRelV relativeFrom="margin">
              <wp14:pctHeight>0</wp14:pctHeight>
            </wp14:sizeRelV>
          </wp:anchor>
        </w:drawing>
      </w:r>
      <w:r w:rsidR="00A2507E" w:rsidRPr="00287CCA">
        <w:rPr>
          <w:rFonts w:ascii="Montserrat" w:hAnsi="Montserrat"/>
          <w:sz w:val="16"/>
          <w:szCs w:val="16"/>
          <w:lang w:val="es-MX"/>
        </w:rPr>
        <w:t xml:space="preserve">Svetlana V. Doubova, M.D., M.Sc., D.Sc. IMSS. </w:t>
      </w:r>
      <w:r w:rsidR="00A2507E" w:rsidRPr="00650050">
        <w:rPr>
          <w:rFonts w:ascii="Montserrat" w:hAnsi="Montserrat"/>
          <w:sz w:val="16"/>
          <w:szCs w:val="16"/>
        </w:rPr>
        <w:t>Mexico City.</w:t>
      </w:r>
    </w:p>
    <w:p w14:paraId="1BC85927" w14:textId="5B89EE0E" w:rsidR="00AE3E37" w:rsidRDefault="00AE3E37">
      <w:pPr>
        <w:pStyle w:val="Textoindependiente"/>
        <w:spacing w:before="3"/>
        <w:rPr>
          <w:rFonts w:ascii="Arial"/>
          <w:sz w:val="21"/>
        </w:rPr>
      </w:pPr>
    </w:p>
    <w:p w14:paraId="7011001C" w14:textId="77777777" w:rsidR="00AE3E37" w:rsidRDefault="00AE3E37">
      <w:pPr>
        <w:rPr>
          <w:rFonts w:ascii="Arial"/>
          <w:sz w:val="21"/>
        </w:rPr>
        <w:sectPr w:rsidR="00AE3E37" w:rsidSect="00650050">
          <w:headerReference w:type="default" r:id="rId10"/>
          <w:footerReference w:type="default" r:id="rId11"/>
          <w:type w:val="continuous"/>
          <w:pgSz w:w="11910" w:h="16840"/>
          <w:pgMar w:top="426" w:right="600" w:bottom="840" w:left="620" w:header="541" w:footer="642" w:gutter="0"/>
          <w:cols w:space="720"/>
        </w:sectPr>
      </w:pPr>
    </w:p>
    <w:p w14:paraId="573E354C" w14:textId="365970ED" w:rsidR="00AE3E37" w:rsidRDefault="00A9710C">
      <w:pPr>
        <w:pStyle w:val="Ttulo3"/>
        <w:spacing w:before="147"/>
        <w:jc w:val="both"/>
      </w:pPr>
      <w:r>
        <w:rPr>
          <w:color w:val="BF5A14"/>
        </w:rPr>
        <w:t>Abstract</w:t>
      </w:r>
      <w:r w:rsidR="00404E5B">
        <w:rPr>
          <w:color w:val="BF5A14"/>
        </w:rPr>
        <w:t xml:space="preserve"> </w:t>
      </w:r>
    </w:p>
    <w:p w14:paraId="64BDA801" w14:textId="4C3C4D65" w:rsidR="00A21916" w:rsidRPr="00D44A0D" w:rsidRDefault="00A9710C" w:rsidP="00A21916">
      <w:pPr>
        <w:pStyle w:val="Textoindependiente"/>
        <w:spacing w:before="90" w:line="280" w:lineRule="auto"/>
        <w:ind w:left="100"/>
        <w:jc w:val="both"/>
        <w:rPr>
          <w:rFonts w:asciiTheme="minorHAnsi" w:hAnsiTheme="minorHAnsi" w:cstheme="minorHAnsi"/>
        </w:rPr>
      </w:pPr>
      <w:r w:rsidRPr="00D44A0D">
        <w:rPr>
          <w:rFonts w:asciiTheme="minorHAnsi" w:hAnsiTheme="minorHAnsi" w:cstheme="minorHAnsi"/>
          <w:b/>
          <w:bCs/>
        </w:rPr>
        <w:t>Statement of the Problem:</w:t>
      </w:r>
      <w:r w:rsidRPr="00D44A0D">
        <w:rPr>
          <w:rFonts w:asciiTheme="minorHAnsi" w:hAnsiTheme="minorHAnsi" w:cstheme="minorHAnsi"/>
        </w:rPr>
        <w:t xml:space="preserve"> </w:t>
      </w:r>
      <w:r w:rsidR="00F70B13" w:rsidRPr="00D44A0D">
        <w:rPr>
          <w:rFonts w:asciiTheme="minorHAnsi" w:hAnsiTheme="minorHAnsi" w:cstheme="minorHAnsi"/>
        </w:rPr>
        <w:t>It is important to analyze the benefits of the use of health technologies. Particularly, continuous glucose monitoring (CGM) could represent an educational intervention that is expected to be useful for the glycemic control of patients with Type 2 Diabetes Mellitus (T2D). The improvements in patient glycemic control would help to avoid the development of micro and macro-vascular complications, and therefore reduce the total costs for society derived from the care of patients with diabetes</w:t>
      </w:r>
      <w:r w:rsidRPr="00D44A0D">
        <w:rPr>
          <w:rFonts w:asciiTheme="minorHAnsi" w:hAnsiTheme="minorHAnsi" w:cstheme="minorHAnsi"/>
        </w:rPr>
        <w:t xml:space="preserve">. </w:t>
      </w:r>
      <w:r w:rsidRPr="00D44A0D">
        <w:rPr>
          <w:rFonts w:asciiTheme="minorHAnsi" w:hAnsiTheme="minorHAnsi" w:cstheme="minorHAnsi"/>
          <w:b/>
          <w:bCs/>
        </w:rPr>
        <w:t>Methodolog</w:t>
      </w:r>
      <w:r w:rsidR="008756E6" w:rsidRPr="00D44A0D">
        <w:rPr>
          <w:rFonts w:asciiTheme="minorHAnsi" w:hAnsiTheme="minorHAnsi" w:cstheme="minorHAnsi"/>
          <w:b/>
          <w:bCs/>
        </w:rPr>
        <w:t>y &amp; Theoretical Orientation:</w:t>
      </w:r>
      <w:r w:rsidR="008756E6" w:rsidRPr="00D44A0D">
        <w:rPr>
          <w:rFonts w:asciiTheme="minorHAnsi" w:hAnsiTheme="minorHAnsi" w:cstheme="minorHAnsi"/>
        </w:rPr>
        <w:t xml:space="preserve"> </w:t>
      </w:r>
      <w:r w:rsidR="00F70B13" w:rsidRPr="00D44A0D">
        <w:rPr>
          <w:rFonts w:asciiTheme="minorHAnsi" w:hAnsiTheme="minorHAnsi" w:cstheme="minorHAnsi"/>
        </w:rPr>
        <w:t xml:space="preserve">We conducted a three-month quasi-experimental study with an intervention and control group and ex-ante and ex-post evaluations in one family medicine clinic in Mexico City. Participants were </w:t>
      </w:r>
      <w:r w:rsidR="00287CCA" w:rsidRPr="00D44A0D">
        <w:rPr>
          <w:rFonts w:asciiTheme="minorHAnsi" w:hAnsiTheme="minorHAnsi" w:cstheme="minorHAnsi"/>
        </w:rPr>
        <w:t>T2D</w:t>
      </w:r>
      <w:r w:rsidR="00F70B13" w:rsidRPr="00D44A0D">
        <w:rPr>
          <w:rFonts w:asciiTheme="minorHAnsi" w:hAnsiTheme="minorHAnsi" w:cstheme="minorHAnsi"/>
        </w:rPr>
        <w:t xml:space="preserve"> patients with HbA1c&gt;8 mg/dL attending a comprehensive diabetes care program. In addition to the program, the intervention group wore a professional CGM sensor (iPro™2) during the first six days of the study. Following this period, intervention group participants had a medical consultation for the CGM results and treatment adjustments. Additionally, they received an educational session and personalized diet plan from a dietitian.</w:t>
      </w:r>
      <w:r w:rsidRPr="00D44A0D">
        <w:rPr>
          <w:rFonts w:asciiTheme="minorHAnsi" w:hAnsiTheme="minorHAnsi" w:cstheme="minorHAnsi"/>
        </w:rPr>
        <w:t xml:space="preserve"> </w:t>
      </w:r>
      <w:r w:rsidRPr="00D44A0D">
        <w:rPr>
          <w:rFonts w:asciiTheme="minorHAnsi" w:hAnsiTheme="minorHAnsi" w:cstheme="minorHAnsi"/>
          <w:b/>
          <w:bCs/>
        </w:rPr>
        <w:t>Findings:</w:t>
      </w:r>
      <w:r w:rsidRPr="00D44A0D">
        <w:rPr>
          <w:rFonts w:asciiTheme="minorHAnsi" w:hAnsiTheme="minorHAnsi" w:cstheme="minorHAnsi"/>
        </w:rPr>
        <w:t xml:space="preserve"> </w:t>
      </w:r>
      <w:r w:rsidR="00A21916" w:rsidRPr="00D44A0D">
        <w:rPr>
          <w:rFonts w:asciiTheme="minorHAnsi" w:hAnsiTheme="minorHAnsi" w:cstheme="minorHAnsi"/>
        </w:rPr>
        <w:t xml:space="preserve">This pilot study showed an improving glycemic control of patients with </w:t>
      </w:r>
      <w:r w:rsidR="00287CCA" w:rsidRPr="00D44A0D">
        <w:rPr>
          <w:rFonts w:asciiTheme="minorHAnsi" w:hAnsiTheme="minorHAnsi" w:cstheme="minorHAnsi"/>
        </w:rPr>
        <w:t>T2D</w:t>
      </w:r>
      <w:r w:rsidR="00A21916" w:rsidRPr="00D44A0D">
        <w:rPr>
          <w:rFonts w:asciiTheme="minorHAnsi" w:hAnsiTheme="minorHAnsi" w:cstheme="minorHAnsi"/>
        </w:rPr>
        <w:t>, as reflected in the additional 0.481 points decrease of HbA1c levels in the intervention group compared with the control group in the three-month follow-up. The intervention group reached a significant increase in the time in range measurement and decreases in the time in hyperglycemic range, glucose variability, and total caloric intake.</w:t>
      </w:r>
      <w:r w:rsidRPr="00D44A0D">
        <w:rPr>
          <w:rFonts w:asciiTheme="minorHAnsi" w:hAnsiTheme="minorHAnsi" w:cstheme="minorHAnsi"/>
        </w:rPr>
        <w:t xml:space="preserve"> </w:t>
      </w:r>
      <w:r w:rsidRPr="00D44A0D">
        <w:rPr>
          <w:rFonts w:asciiTheme="minorHAnsi" w:hAnsiTheme="minorHAnsi" w:cstheme="minorHAnsi"/>
          <w:b/>
          <w:bCs/>
        </w:rPr>
        <w:t>Conclusion &amp; Significance:</w:t>
      </w:r>
      <w:r w:rsidRPr="00D44A0D">
        <w:rPr>
          <w:rFonts w:asciiTheme="minorHAnsi" w:hAnsiTheme="minorHAnsi" w:cstheme="minorHAnsi"/>
        </w:rPr>
        <w:t xml:space="preserve"> </w:t>
      </w:r>
      <w:r w:rsidR="00A21916" w:rsidRPr="00D44A0D">
        <w:rPr>
          <w:rFonts w:asciiTheme="minorHAnsi" w:hAnsiTheme="minorHAnsi" w:cstheme="minorHAnsi"/>
        </w:rPr>
        <w:t xml:space="preserve"> Primary care services deliver most of the care for patients with </w:t>
      </w:r>
      <w:r w:rsidR="00287CCA" w:rsidRPr="00D44A0D">
        <w:rPr>
          <w:rFonts w:asciiTheme="minorHAnsi" w:hAnsiTheme="minorHAnsi" w:cstheme="minorHAnsi"/>
        </w:rPr>
        <w:t>T2D</w:t>
      </w:r>
      <w:r w:rsidR="00A21916" w:rsidRPr="00D44A0D">
        <w:rPr>
          <w:rFonts w:asciiTheme="minorHAnsi" w:hAnsiTheme="minorHAnsi" w:cstheme="minorHAnsi"/>
        </w:rPr>
        <w:t xml:space="preserve">. Care for these patients is complex and requires interprofessional collaboration. Our results indicate that in the context of Latin American countries, the professional CGM may be a useful tool for accurate data that can guide the therapeutic and educational decisions of health providers treating patients with </w:t>
      </w:r>
      <w:r w:rsidR="00287CCA" w:rsidRPr="00D44A0D">
        <w:rPr>
          <w:rFonts w:asciiTheme="minorHAnsi" w:hAnsiTheme="minorHAnsi" w:cstheme="minorHAnsi"/>
        </w:rPr>
        <w:t>T2D</w:t>
      </w:r>
      <w:r w:rsidR="00A21916" w:rsidRPr="00D44A0D">
        <w:rPr>
          <w:rFonts w:asciiTheme="minorHAnsi" w:hAnsiTheme="minorHAnsi" w:cstheme="minorHAnsi"/>
        </w:rPr>
        <w:t xml:space="preserve">. </w:t>
      </w:r>
    </w:p>
    <w:p w14:paraId="088F79A8" w14:textId="51A6C89D" w:rsidR="00AE3E37" w:rsidRDefault="00D44A0D">
      <w:pPr>
        <w:pStyle w:val="Textoindependiente"/>
        <w:spacing w:before="90" w:line="280" w:lineRule="auto"/>
        <w:ind w:left="100"/>
        <w:jc w:val="both"/>
      </w:pPr>
      <w:r>
        <w:rPr>
          <w:noProof/>
        </w:rPr>
        <w:drawing>
          <wp:anchor distT="0" distB="0" distL="114300" distR="114300" simplePos="0" relativeHeight="251655168" behindDoc="0" locked="0" layoutInCell="1" allowOverlap="1" wp14:anchorId="27AAB6F5" wp14:editId="5A8F2FEC">
            <wp:simplePos x="0" y="0"/>
            <wp:positionH relativeFrom="column">
              <wp:posOffset>275953</wp:posOffset>
            </wp:positionH>
            <wp:positionV relativeFrom="paragraph">
              <wp:posOffset>97155</wp:posOffset>
            </wp:positionV>
            <wp:extent cx="798285" cy="740964"/>
            <wp:effectExtent l="0" t="0" r="1905" b="2540"/>
            <wp:wrapNone/>
            <wp:docPr id="4" name="Imagen 3">
              <a:extLst xmlns:a="http://schemas.openxmlformats.org/drawingml/2006/main">
                <a:ext uri="{FF2B5EF4-FFF2-40B4-BE49-F238E27FC236}">
                  <a16:creationId xmlns:a16="http://schemas.microsoft.com/office/drawing/2014/main" id="{F2CBE4FD-900E-422E-B8D5-3DE10ED70E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a:extLst>
                        <a:ext uri="{FF2B5EF4-FFF2-40B4-BE49-F238E27FC236}">
                          <a16:creationId xmlns:a16="http://schemas.microsoft.com/office/drawing/2014/main" id="{F2CBE4FD-900E-422E-B8D5-3DE10ED70EEA}"/>
                        </a:ext>
                      </a:extLst>
                    </pic:cNvPr>
                    <pic:cNvPicPr>
                      <a:picLocks noChangeAspect="1"/>
                    </pic:cNvPicPr>
                  </pic:nvPicPr>
                  <pic:blipFill rotWithShape="1">
                    <a:blip r:embed="rId12" cstate="print">
                      <a:alphaModFix/>
                      <a:extLst>
                        <a:ext uri="{28A0092B-C50C-407E-A947-70E740481C1C}">
                          <a14:useLocalDpi xmlns:a14="http://schemas.microsoft.com/office/drawing/2010/main" val="0"/>
                        </a:ext>
                      </a:extLst>
                    </a:blip>
                    <a:srcRect l="4414" t="36808" r="4482" b="-2"/>
                    <a:stretch/>
                  </pic:blipFill>
                  <pic:spPr>
                    <a:xfrm>
                      <a:off x="0" y="0"/>
                      <a:ext cx="798285" cy="740964"/>
                    </a:xfrm>
                    <a:custGeom>
                      <a:avLst/>
                      <a:gdLst>
                        <a:gd name="connsiteX0" fmla="*/ 2178155 w 5298683"/>
                        <a:gd name="connsiteY0" fmla="*/ 0 h 6097438"/>
                        <a:gd name="connsiteX1" fmla="*/ 5298683 w 5298683"/>
                        <a:gd name="connsiteY1" fmla="*/ 3120527 h 6097438"/>
                        <a:gd name="connsiteX2" fmla="*/ 3392805 w 5298683"/>
                        <a:gd name="connsiteY2" fmla="*/ 5995828 h 6097438"/>
                        <a:gd name="connsiteX3" fmla="*/ 3115184 w 5298683"/>
                        <a:gd name="connsiteY3" fmla="*/ 6097438 h 6097438"/>
                        <a:gd name="connsiteX4" fmla="*/ 1241127 w 5298683"/>
                        <a:gd name="connsiteY4" fmla="*/ 6097438 h 6097438"/>
                        <a:gd name="connsiteX5" fmla="*/ 963506 w 5298683"/>
                        <a:gd name="connsiteY5" fmla="*/ 5995828 h 6097438"/>
                        <a:gd name="connsiteX6" fmla="*/ 193210 w 5298683"/>
                        <a:gd name="connsiteY6" fmla="*/ 5528477 h 6097438"/>
                        <a:gd name="connsiteX7" fmla="*/ 0 w 5298683"/>
                        <a:gd name="connsiteY7" fmla="*/ 5352876 h 6097438"/>
                        <a:gd name="connsiteX8" fmla="*/ 0 w 5298683"/>
                        <a:gd name="connsiteY8" fmla="*/ 888178 h 6097438"/>
                        <a:gd name="connsiteX9" fmla="*/ 193210 w 5298683"/>
                        <a:gd name="connsiteY9" fmla="*/ 712577 h 6097438"/>
                        <a:gd name="connsiteX10" fmla="*/ 2178155 w 5298683"/>
                        <a:gd name="connsiteY10" fmla="*/ 0 h 60974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5298683" h="6097438">
                          <a:moveTo>
                            <a:pt x="2178155" y="0"/>
                          </a:moveTo>
                          <a:cubicBezTo>
                            <a:pt x="3901575" y="0"/>
                            <a:pt x="5298683" y="1397108"/>
                            <a:pt x="5298683" y="3120527"/>
                          </a:cubicBezTo>
                          <a:cubicBezTo>
                            <a:pt x="5298683" y="4413092"/>
                            <a:pt x="4512810" y="5522106"/>
                            <a:pt x="3392805" y="5995828"/>
                          </a:cubicBezTo>
                          <a:lnTo>
                            <a:pt x="3115184" y="6097438"/>
                          </a:lnTo>
                          <a:lnTo>
                            <a:pt x="1241127" y="6097438"/>
                          </a:lnTo>
                          <a:lnTo>
                            <a:pt x="963506" y="5995828"/>
                          </a:lnTo>
                          <a:cubicBezTo>
                            <a:pt x="683504" y="5877397"/>
                            <a:pt x="424387" y="5719261"/>
                            <a:pt x="193210" y="5528477"/>
                          </a:cubicBezTo>
                          <a:lnTo>
                            <a:pt x="0" y="5352876"/>
                          </a:lnTo>
                          <a:lnTo>
                            <a:pt x="0" y="888178"/>
                          </a:lnTo>
                          <a:lnTo>
                            <a:pt x="193210" y="712577"/>
                          </a:lnTo>
                          <a:cubicBezTo>
                            <a:pt x="732621" y="267415"/>
                            <a:pt x="1424159" y="0"/>
                            <a:pt x="2178155" y="0"/>
                          </a:cubicBezTo>
                          <a:close/>
                        </a:path>
                      </a:pathLst>
                    </a:custGeom>
                    <a:effectLst>
                      <a:softEdge rad="0"/>
                    </a:effectLst>
                  </pic:spPr>
                </pic:pic>
              </a:graphicData>
            </a:graphic>
            <wp14:sizeRelH relativeFrom="margin">
              <wp14:pctWidth>0</wp14:pctWidth>
            </wp14:sizeRelH>
            <wp14:sizeRelV relativeFrom="margin">
              <wp14:pctHeight>0</wp14:pctHeight>
            </wp14:sizeRelV>
          </wp:anchor>
        </w:drawing>
      </w:r>
    </w:p>
    <w:p w14:paraId="033ADBBB" w14:textId="72EC0694" w:rsidR="00AE3E37" w:rsidRDefault="00A9710C">
      <w:pPr>
        <w:pStyle w:val="Ttulo3"/>
        <w:spacing w:before="74"/>
      </w:pPr>
      <w:r>
        <w:rPr>
          <w:b w:val="0"/>
        </w:rPr>
        <w:br w:type="column"/>
      </w:r>
    </w:p>
    <w:p w14:paraId="040C432B" w14:textId="557E6CAC" w:rsidR="00AE3E37" w:rsidRDefault="00287CCA">
      <w:pPr>
        <w:pStyle w:val="Textoindependiente"/>
        <w:spacing w:before="2"/>
        <w:rPr>
          <w:noProof/>
          <w:lang w:val="en-IN" w:eastAsia="en-IN"/>
        </w:rPr>
      </w:pPr>
      <w:r w:rsidRPr="00287CCA">
        <w:rPr>
          <w:noProof/>
        </w:rPr>
        <w:drawing>
          <wp:anchor distT="0" distB="0" distL="114300" distR="114300" simplePos="0" relativeHeight="251670528" behindDoc="0" locked="0" layoutInCell="1" allowOverlap="1" wp14:anchorId="2E8FF2A1" wp14:editId="11E1713A">
            <wp:simplePos x="0" y="0"/>
            <wp:positionH relativeFrom="column">
              <wp:posOffset>1304501</wp:posOffset>
            </wp:positionH>
            <wp:positionV relativeFrom="paragraph">
              <wp:posOffset>113665</wp:posOffset>
            </wp:positionV>
            <wp:extent cx="1791970" cy="1243415"/>
            <wp:effectExtent l="0" t="0" r="0" b="0"/>
            <wp:wrapNone/>
            <wp:docPr id="2" name="Imagen 13">
              <a:extLst xmlns:a="http://schemas.openxmlformats.org/drawingml/2006/main">
                <a:ext uri="{FF2B5EF4-FFF2-40B4-BE49-F238E27FC236}">
                  <a16:creationId xmlns:a16="http://schemas.microsoft.com/office/drawing/2014/main" id="{90EDC1F5-6A88-4021-AEED-17E0232C03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a:extLst>
                        <a:ext uri="{FF2B5EF4-FFF2-40B4-BE49-F238E27FC236}">
                          <a16:creationId xmlns:a16="http://schemas.microsoft.com/office/drawing/2014/main" id="{90EDC1F5-6A88-4021-AEED-17E0232C034D}"/>
                        </a:ext>
                      </a:extLst>
                    </pic:cNvPr>
                    <pic:cNvPicPr>
                      <a:picLocks noChangeAspect="1"/>
                    </pic:cNvPicPr>
                  </pic:nvPicPr>
                  <pic:blipFill>
                    <a:blip r:embed="rId13"/>
                    <a:stretch>
                      <a:fillRect/>
                    </a:stretch>
                  </pic:blipFill>
                  <pic:spPr>
                    <a:xfrm>
                      <a:off x="0" y="0"/>
                      <a:ext cx="1791970" cy="1243415"/>
                    </a:xfrm>
                    <a:prstGeom prst="rect">
                      <a:avLst/>
                    </a:prstGeom>
                  </pic:spPr>
                </pic:pic>
              </a:graphicData>
            </a:graphic>
            <wp14:sizeRelH relativeFrom="margin">
              <wp14:pctWidth>0</wp14:pctWidth>
            </wp14:sizeRelH>
            <wp14:sizeRelV relativeFrom="margin">
              <wp14:pctHeight>0</wp14:pctHeight>
            </wp14:sizeRelV>
          </wp:anchor>
        </w:drawing>
      </w:r>
    </w:p>
    <w:p w14:paraId="299C660C" w14:textId="5A3A4E51" w:rsidR="00287CCA" w:rsidRDefault="00287CCA">
      <w:pPr>
        <w:pStyle w:val="Textoindependiente"/>
        <w:spacing w:before="2"/>
        <w:rPr>
          <w:noProof/>
          <w:lang w:val="en-IN" w:eastAsia="en-IN"/>
        </w:rPr>
      </w:pPr>
    </w:p>
    <w:p w14:paraId="09DB5B96" w14:textId="3F553B05" w:rsidR="00287CCA" w:rsidRDefault="00287CCA">
      <w:pPr>
        <w:pStyle w:val="Textoindependiente"/>
        <w:spacing w:before="2"/>
        <w:rPr>
          <w:noProof/>
          <w:lang w:val="en-IN" w:eastAsia="en-IN"/>
        </w:rPr>
      </w:pPr>
    </w:p>
    <w:p w14:paraId="43C60B21" w14:textId="5B7E4145" w:rsidR="00287CCA" w:rsidRDefault="00287CCA">
      <w:pPr>
        <w:pStyle w:val="Textoindependiente"/>
        <w:spacing w:before="2"/>
        <w:rPr>
          <w:noProof/>
          <w:lang w:val="en-IN" w:eastAsia="en-IN"/>
        </w:rPr>
      </w:pPr>
    </w:p>
    <w:p w14:paraId="3521072C" w14:textId="4F1CFD92" w:rsidR="00287CCA" w:rsidRDefault="00287CCA">
      <w:pPr>
        <w:pStyle w:val="Textoindependiente"/>
        <w:spacing w:before="2"/>
        <w:rPr>
          <w:noProof/>
          <w:lang w:val="en-IN" w:eastAsia="en-IN"/>
        </w:rPr>
      </w:pPr>
    </w:p>
    <w:p w14:paraId="2638BB08" w14:textId="696BF872" w:rsidR="00287CCA" w:rsidRDefault="00287CCA">
      <w:pPr>
        <w:pStyle w:val="Textoindependiente"/>
        <w:spacing w:before="2"/>
        <w:rPr>
          <w:noProof/>
          <w:lang w:val="en-IN" w:eastAsia="en-IN"/>
        </w:rPr>
      </w:pPr>
    </w:p>
    <w:p w14:paraId="6E2725BF" w14:textId="77777777" w:rsidR="00287CCA" w:rsidRDefault="00287CCA">
      <w:pPr>
        <w:pStyle w:val="Textoindependiente"/>
        <w:spacing w:before="2"/>
        <w:rPr>
          <w:rFonts w:ascii="Arial"/>
          <w:b/>
          <w:sz w:val="16"/>
        </w:rPr>
      </w:pPr>
    </w:p>
    <w:p w14:paraId="34E77DA2" w14:textId="77777777" w:rsidR="00287CCA" w:rsidRDefault="005973B9" w:rsidP="005973B9">
      <w:pPr>
        <w:spacing w:line="204" w:lineRule="exact"/>
        <w:rPr>
          <w:rFonts w:ascii="Arial"/>
          <w:b/>
          <w:color w:val="BF5A14"/>
          <w:sz w:val="20"/>
        </w:rPr>
      </w:pPr>
      <w:r>
        <w:rPr>
          <w:rFonts w:ascii="Arial"/>
          <w:b/>
          <w:color w:val="BF5A14"/>
          <w:sz w:val="20"/>
        </w:rPr>
        <w:br/>
      </w:r>
    </w:p>
    <w:p w14:paraId="2E5CDDC0" w14:textId="77777777" w:rsidR="00287CCA" w:rsidRDefault="00287CCA" w:rsidP="005973B9">
      <w:pPr>
        <w:spacing w:line="204" w:lineRule="exact"/>
        <w:rPr>
          <w:rFonts w:ascii="Arial"/>
          <w:b/>
          <w:color w:val="BF5A14"/>
          <w:sz w:val="20"/>
        </w:rPr>
      </w:pPr>
    </w:p>
    <w:p w14:paraId="6AD0D880" w14:textId="77777777" w:rsidR="00287CCA" w:rsidRDefault="00287CCA" w:rsidP="005973B9">
      <w:pPr>
        <w:spacing w:line="204" w:lineRule="exact"/>
        <w:rPr>
          <w:rFonts w:ascii="Arial"/>
          <w:b/>
          <w:color w:val="BF5A14"/>
          <w:sz w:val="20"/>
        </w:rPr>
      </w:pPr>
    </w:p>
    <w:p w14:paraId="65797EDF" w14:textId="0B739762" w:rsidR="005973B9" w:rsidRDefault="005973B9" w:rsidP="005973B9">
      <w:pPr>
        <w:spacing w:line="204" w:lineRule="exact"/>
        <w:rPr>
          <w:rFonts w:ascii="Arial"/>
          <w:b/>
          <w:sz w:val="20"/>
        </w:rPr>
      </w:pPr>
      <w:r>
        <w:rPr>
          <w:rFonts w:ascii="Arial"/>
          <w:b/>
          <w:color w:val="BF5A14"/>
          <w:sz w:val="20"/>
        </w:rPr>
        <w:t xml:space="preserve">Recent Publications </w:t>
      </w:r>
    </w:p>
    <w:p w14:paraId="4FB9D8C2" w14:textId="3D297962" w:rsidR="001C5C35" w:rsidRDefault="001C5C35" w:rsidP="001C5C35">
      <w:pPr>
        <w:pStyle w:val="Prrafodelista"/>
        <w:numPr>
          <w:ilvl w:val="0"/>
          <w:numId w:val="3"/>
        </w:numPr>
        <w:tabs>
          <w:tab w:val="left" w:pos="384"/>
        </w:tabs>
        <w:spacing w:before="103" w:line="216" w:lineRule="exact"/>
        <w:ind w:right="138" w:hanging="283"/>
        <w:rPr>
          <w:sz w:val="18"/>
        </w:rPr>
      </w:pPr>
      <w:r w:rsidRPr="001C5C35">
        <w:rPr>
          <w:sz w:val="18"/>
          <w:lang w:val="es-MX"/>
        </w:rPr>
        <w:t>Rivera-Ávila, D.A., Esquivel-Lu, A.I., Salazar-Lozano, C.R. et al. </w:t>
      </w:r>
      <w:r w:rsidRPr="001C5C35">
        <w:rPr>
          <w:sz w:val="18"/>
        </w:rPr>
        <w:t xml:space="preserve">The effects of professional continuous glucose monitoring as an adjuvant educational tool for improving glycemic control in patients with type 2 diabetes. BMC Endocr Disord 21, 79 (2021). </w:t>
      </w:r>
      <w:r w:rsidR="00D44A0D">
        <w:rPr>
          <w:sz w:val="18"/>
        </w:rPr>
        <w:t xml:space="preserve"> </w:t>
      </w:r>
      <w:r w:rsidR="00D44A0D" w:rsidRPr="00D44A0D">
        <w:rPr>
          <w:sz w:val="18"/>
        </w:rPr>
        <w:t>https://doi.org/10.1186/s12902-021-00742-5</w:t>
      </w:r>
    </w:p>
    <w:p w14:paraId="3FF215DF" w14:textId="77777777" w:rsidR="001C5C35" w:rsidRPr="001C5C35" w:rsidRDefault="001C5C35" w:rsidP="001C5C35">
      <w:pPr>
        <w:pStyle w:val="Prrafodelista"/>
        <w:numPr>
          <w:ilvl w:val="0"/>
          <w:numId w:val="3"/>
        </w:numPr>
        <w:tabs>
          <w:tab w:val="left" w:pos="384"/>
        </w:tabs>
        <w:spacing w:before="103" w:line="216" w:lineRule="exact"/>
        <w:ind w:right="138" w:hanging="283"/>
        <w:rPr>
          <w:sz w:val="18"/>
        </w:rPr>
      </w:pPr>
      <w:r w:rsidRPr="001C5C35">
        <w:rPr>
          <w:sz w:val="18"/>
        </w:rPr>
        <w:t>Aleppo G. Approaches for Successful Outcomes with Continuous Glucose Monitoring. 2018 Aug. In: Role of Continuous Glucose Monitoring in Diabetes Treatment. Arlington (VA): American Diabetes Association; 2018 Aug. Available from: https://www.ncbi.nlm.nih.gov/books/NBK538974/ doi: 10.2337/db20181-13</w:t>
      </w:r>
    </w:p>
    <w:p w14:paraId="123A08F7" w14:textId="77777777" w:rsidR="001C5C35" w:rsidRPr="00D44A0D" w:rsidRDefault="001C5C35" w:rsidP="00D44A0D">
      <w:pPr>
        <w:pStyle w:val="Prrafodelista"/>
        <w:numPr>
          <w:ilvl w:val="0"/>
          <w:numId w:val="3"/>
        </w:numPr>
        <w:tabs>
          <w:tab w:val="left" w:pos="384"/>
        </w:tabs>
        <w:spacing w:before="103" w:line="216" w:lineRule="exact"/>
        <w:ind w:right="138" w:hanging="283"/>
        <w:rPr>
          <w:sz w:val="18"/>
        </w:rPr>
      </w:pPr>
      <w:r w:rsidRPr="00650050">
        <w:rPr>
          <w:sz w:val="18"/>
          <w:lang w:val="es-MX"/>
        </w:rPr>
        <w:t xml:space="preserve">Carlson AL, Mullen DM, Bergenstal RM. </w:t>
      </w:r>
      <w:r w:rsidRPr="00D44A0D">
        <w:rPr>
          <w:sz w:val="18"/>
        </w:rPr>
        <w:t>Clinical Use of Continuous Glucose Monitoring in Adults with Type 2 Diabetes. Diabetes Technol Ther. 2017;19(S2):S4-S11. doi:10.1089/dia.2017.0024</w:t>
      </w:r>
    </w:p>
    <w:p w14:paraId="577699CF" w14:textId="77777777" w:rsidR="001C5C35" w:rsidRPr="00D44A0D" w:rsidRDefault="001C5C35" w:rsidP="00D44A0D">
      <w:pPr>
        <w:pStyle w:val="Prrafodelista"/>
        <w:numPr>
          <w:ilvl w:val="0"/>
          <w:numId w:val="3"/>
        </w:numPr>
        <w:tabs>
          <w:tab w:val="left" w:pos="384"/>
        </w:tabs>
        <w:spacing w:before="103" w:line="216" w:lineRule="exact"/>
        <w:ind w:right="138" w:hanging="283"/>
        <w:rPr>
          <w:sz w:val="18"/>
        </w:rPr>
      </w:pPr>
      <w:r w:rsidRPr="00D44A0D">
        <w:rPr>
          <w:sz w:val="18"/>
        </w:rPr>
        <w:t>Park C, Le QA. The Effectiveness of Continuous Glucose Monitoring in Patients with Type 2 Diabetes: A Systematic Review of Literature and Meta-analysis. Diabetes Technol Ther. 2018;20(9):613-621. doi:10.1089/dia.2018.0177</w:t>
      </w:r>
    </w:p>
    <w:p w14:paraId="1E82A64B" w14:textId="77777777" w:rsidR="001C5C35" w:rsidRDefault="001C5C35" w:rsidP="001C5C35">
      <w:pPr>
        <w:pStyle w:val="Prrafodelista"/>
        <w:numPr>
          <w:ilvl w:val="0"/>
          <w:numId w:val="3"/>
        </w:numPr>
        <w:tabs>
          <w:tab w:val="left" w:pos="384"/>
        </w:tabs>
        <w:spacing w:before="103" w:line="216" w:lineRule="exact"/>
        <w:ind w:right="138" w:hanging="283"/>
        <w:rPr>
          <w:sz w:val="18"/>
        </w:rPr>
      </w:pPr>
      <w:r w:rsidRPr="001C5C35">
        <w:rPr>
          <w:sz w:val="18"/>
        </w:rPr>
        <w:t>Rodbard D. Continuous Glucose Monitoring: A Review of Recent Studies Demonstrating Improved Glycemic Outcomes. Diabetes Technol Ther. 2017;19(S3):S25-S37. doi:10.1089/dia.2017.0035</w:t>
      </w:r>
    </w:p>
    <w:p w14:paraId="604C4381" w14:textId="1FC131F8" w:rsidR="00287CCA" w:rsidRPr="001C5C35" w:rsidRDefault="00287CCA" w:rsidP="001C5C35">
      <w:pPr>
        <w:pStyle w:val="Prrafodelista"/>
        <w:numPr>
          <w:ilvl w:val="0"/>
          <w:numId w:val="3"/>
        </w:numPr>
        <w:tabs>
          <w:tab w:val="left" w:pos="384"/>
        </w:tabs>
        <w:spacing w:before="103" w:line="216" w:lineRule="exact"/>
        <w:ind w:right="138" w:hanging="283"/>
        <w:rPr>
          <w:sz w:val="18"/>
        </w:rPr>
      </w:pPr>
      <w:r w:rsidRPr="00D44A0D">
        <w:rPr>
          <w:sz w:val="18"/>
        </w:rPr>
        <w:t>Sierra JA, Shah M, Gill MS, Flores Z, Chawla H, Kaufman FR, Vigersky R. Clinical and economic benefits of professional CGM among people with type 2 diabetes</w:t>
      </w:r>
      <w:r w:rsidRPr="001C5C35">
        <w:rPr>
          <w:rFonts w:eastAsia="Tw Cen MT" w:hAnsi="Tw Cen MT" w:cs="Tw Cen MT"/>
          <w:sz w:val="18"/>
          <w:szCs w:val="18"/>
        </w:rPr>
        <w:t xml:space="preserve"> in the United States: analysis of claims and lab data. J Med Econ. 2018;21(3):225-230.</w:t>
      </w:r>
      <w:r w:rsidRPr="001C5C35">
        <w:rPr>
          <w:rFonts w:ascii="Arial" w:hAnsi="Arial" w:cs="Arial"/>
          <w:sz w:val="24"/>
          <w:szCs w:val="24"/>
        </w:rPr>
        <w:t xml:space="preserve"> </w:t>
      </w:r>
    </w:p>
    <w:p w14:paraId="03A877D9" w14:textId="0FF93846" w:rsidR="00AE3E37" w:rsidRDefault="00AE3E37">
      <w:pPr>
        <w:spacing w:line="200" w:lineRule="exact"/>
        <w:jc w:val="both"/>
        <w:rPr>
          <w:rFonts w:ascii="Calibri" w:hAnsi="Calibri"/>
        </w:rPr>
        <w:sectPr w:rsidR="00AE3E37" w:rsidSect="00D44A0D">
          <w:type w:val="continuous"/>
          <w:pgSz w:w="11910" w:h="16840"/>
          <w:pgMar w:top="1843" w:right="600" w:bottom="840" w:left="620" w:header="720" w:footer="720" w:gutter="0"/>
          <w:cols w:num="2" w:space="720" w:equalWidth="0">
            <w:col w:w="5214" w:space="138"/>
            <w:col w:w="5338"/>
          </w:cols>
        </w:sectPr>
      </w:pPr>
    </w:p>
    <w:p w14:paraId="710A6585" w14:textId="0FAFB60C" w:rsidR="00AE3E37" w:rsidRDefault="00AE3E37">
      <w:pPr>
        <w:pStyle w:val="Textoindependiente"/>
        <w:rPr>
          <w:rFonts w:ascii="Calibri"/>
          <w:sz w:val="20"/>
        </w:rPr>
      </w:pPr>
    </w:p>
    <w:p w14:paraId="36E5872B" w14:textId="5EBD037A"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60AEFCEB" wp14:editId="3429B7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83EBC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7F4D2C" w14:textId="4726DB19" w:rsidR="002A196B" w:rsidRDefault="008756E6" w:rsidP="00404E5B">
      <w:pPr>
        <w:spacing w:before="92"/>
        <w:ind w:right="4234"/>
        <w:rPr>
          <w:noProof/>
        </w:rPr>
      </w:pPr>
      <w:r>
        <w:rPr>
          <w:noProof/>
        </w:rPr>
        <w:t xml:space="preserve">   </w:t>
      </w:r>
      <w:r w:rsidR="002A196B">
        <w:rPr>
          <w:noProof/>
        </w:rPr>
        <w:t xml:space="preserve"> </w:t>
      </w:r>
    </w:p>
    <w:p w14:paraId="14C04E94" w14:textId="24BC7266" w:rsidR="002A196B" w:rsidRPr="00D44A0D" w:rsidRDefault="002A196B" w:rsidP="00404E5B">
      <w:pPr>
        <w:spacing w:before="92"/>
        <w:ind w:right="4234"/>
        <w:rPr>
          <w:rFonts w:asciiTheme="minorHAnsi" w:hAnsiTheme="minorHAnsi" w:cstheme="minorHAnsi"/>
          <w:noProof/>
        </w:rPr>
      </w:pPr>
      <w:r w:rsidRPr="00D44A0D">
        <w:rPr>
          <w:rFonts w:asciiTheme="minorHAnsi" w:hAnsiTheme="minorHAnsi" w:cstheme="minorHAnsi"/>
          <w:noProof/>
        </w:rPr>
        <w:t xml:space="preserve">   </w:t>
      </w:r>
    </w:p>
    <w:p w14:paraId="7473BF98" w14:textId="77777777" w:rsidR="00D44A0D" w:rsidRPr="00D44A0D" w:rsidRDefault="00D44A0D">
      <w:pPr>
        <w:spacing w:before="41" w:line="154" w:lineRule="exact"/>
        <w:ind w:left="213" w:right="231"/>
        <w:jc w:val="both"/>
        <w:rPr>
          <w:rFonts w:asciiTheme="minorHAnsi" w:hAnsiTheme="minorHAnsi" w:cstheme="minorHAnsi"/>
          <w:sz w:val="18"/>
          <w:szCs w:val="28"/>
        </w:rPr>
      </w:pPr>
    </w:p>
    <w:p w14:paraId="1C8142C4" w14:textId="2F79F333" w:rsidR="00AE3E37" w:rsidRPr="00D44A0D" w:rsidRDefault="00A9710C">
      <w:pPr>
        <w:spacing w:before="41" w:line="154" w:lineRule="exact"/>
        <w:ind w:left="213" w:right="231"/>
        <w:jc w:val="both"/>
        <w:rPr>
          <w:rFonts w:asciiTheme="minorHAnsi" w:hAnsiTheme="minorHAnsi" w:cstheme="minorHAnsi"/>
          <w:sz w:val="18"/>
          <w:szCs w:val="28"/>
        </w:rPr>
      </w:pPr>
      <w:r w:rsidRPr="00D44A0D">
        <w:rPr>
          <w:rFonts w:asciiTheme="minorHAnsi" w:hAnsiTheme="minorHAnsi" w:cstheme="minorHAnsi"/>
          <w:sz w:val="18"/>
          <w:szCs w:val="28"/>
        </w:rPr>
        <w:t>D</w:t>
      </w:r>
      <w:r w:rsidR="00BB6D42" w:rsidRPr="00D44A0D">
        <w:rPr>
          <w:rFonts w:asciiTheme="minorHAnsi" w:hAnsiTheme="minorHAnsi" w:cstheme="minorHAnsi"/>
          <w:sz w:val="18"/>
          <w:szCs w:val="28"/>
        </w:rPr>
        <w:t>ulce Rivera</w:t>
      </w:r>
      <w:r w:rsidRPr="00D44A0D">
        <w:rPr>
          <w:rFonts w:asciiTheme="minorHAnsi" w:hAnsiTheme="minorHAnsi" w:cstheme="minorHAnsi"/>
          <w:sz w:val="18"/>
          <w:szCs w:val="28"/>
        </w:rPr>
        <w:t xml:space="preserve"> </w:t>
      </w:r>
      <w:r w:rsidR="00BB6D42" w:rsidRPr="00D44A0D">
        <w:rPr>
          <w:rFonts w:asciiTheme="minorHAnsi" w:hAnsiTheme="minorHAnsi" w:cstheme="minorHAnsi"/>
          <w:sz w:val="18"/>
          <w:szCs w:val="28"/>
        </w:rPr>
        <w:t xml:space="preserve">is a Mexican academic in primary health care and trained as a GP, Professor of Therapeutics of Pharmacology at National Autonomous Mexican University. </w:t>
      </w:r>
      <w:r w:rsidR="009239FC" w:rsidRPr="00D44A0D">
        <w:rPr>
          <w:rFonts w:asciiTheme="minorHAnsi" w:hAnsiTheme="minorHAnsi" w:cstheme="minorHAnsi"/>
          <w:sz w:val="18"/>
          <w:szCs w:val="28"/>
        </w:rPr>
        <w:t>Master of Health Sciences</w:t>
      </w:r>
      <w:r w:rsidR="00BB6D42" w:rsidRPr="00D44A0D">
        <w:rPr>
          <w:rFonts w:asciiTheme="minorHAnsi" w:hAnsiTheme="minorHAnsi" w:cstheme="minorHAnsi"/>
          <w:sz w:val="18"/>
          <w:szCs w:val="28"/>
        </w:rPr>
        <w:t>. She joined de Education Department at the</w:t>
      </w:r>
      <w:r w:rsidR="009239FC" w:rsidRPr="00D44A0D">
        <w:rPr>
          <w:rFonts w:asciiTheme="minorHAnsi" w:hAnsiTheme="minorHAnsi" w:cstheme="minorHAnsi"/>
          <w:sz w:val="18"/>
          <w:szCs w:val="28"/>
        </w:rPr>
        <w:t xml:space="preserve"> Mexican Civil Service Social Security and Services Institute</w:t>
      </w:r>
      <w:r w:rsidR="00BB6D42" w:rsidRPr="00D44A0D">
        <w:rPr>
          <w:rFonts w:asciiTheme="minorHAnsi" w:hAnsiTheme="minorHAnsi" w:cstheme="minorHAnsi"/>
          <w:sz w:val="18"/>
          <w:szCs w:val="28"/>
        </w:rPr>
        <w:t xml:space="preserve"> </w:t>
      </w:r>
      <w:r w:rsidR="009239FC" w:rsidRPr="00D44A0D">
        <w:rPr>
          <w:rFonts w:asciiTheme="minorHAnsi" w:hAnsiTheme="minorHAnsi" w:cstheme="minorHAnsi"/>
          <w:sz w:val="18"/>
          <w:szCs w:val="28"/>
        </w:rPr>
        <w:t xml:space="preserve">(ISSSTE).  Founder and active member of the Mexican Network of  Researchers in Family Medicine AC. She has expertise in evaluation and treatment of </w:t>
      </w:r>
      <w:r w:rsidR="003C648F" w:rsidRPr="00D44A0D">
        <w:rPr>
          <w:rFonts w:asciiTheme="minorHAnsi" w:hAnsiTheme="minorHAnsi" w:cstheme="minorHAnsi"/>
          <w:sz w:val="18"/>
          <w:szCs w:val="28"/>
        </w:rPr>
        <w:t>heterogeneity</w:t>
      </w:r>
      <w:r w:rsidR="009239FC" w:rsidRPr="00D44A0D">
        <w:rPr>
          <w:rFonts w:asciiTheme="minorHAnsi" w:hAnsiTheme="minorHAnsi" w:cstheme="minorHAnsi"/>
          <w:sz w:val="18"/>
          <w:szCs w:val="28"/>
        </w:rPr>
        <w:t xml:space="preserve"> patient response </w:t>
      </w:r>
      <w:r w:rsidRPr="00D44A0D">
        <w:rPr>
          <w:rFonts w:asciiTheme="minorHAnsi" w:hAnsiTheme="minorHAnsi" w:cstheme="minorHAnsi"/>
          <w:sz w:val="18"/>
          <w:szCs w:val="28"/>
        </w:rPr>
        <w:t xml:space="preserve">and passion in improving the </w:t>
      </w:r>
      <w:r w:rsidR="009239FC" w:rsidRPr="00D44A0D">
        <w:rPr>
          <w:rFonts w:asciiTheme="minorHAnsi" w:hAnsiTheme="minorHAnsi" w:cstheme="minorHAnsi"/>
          <w:sz w:val="18"/>
          <w:szCs w:val="28"/>
        </w:rPr>
        <w:t xml:space="preserve">medical education </w:t>
      </w:r>
      <w:r w:rsidRPr="00D44A0D">
        <w:rPr>
          <w:rFonts w:asciiTheme="minorHAnsi" w:hAnsiTheme="minorHAnsi" w:cstheme="minorHAnsi"/>
          <w:sz w:val="18"/>
          <w:szCs w:val="28"/>
        </w:rPr>
        <w:t xml:space="preserve">and </w:t>
      </w:r>
      <w:r w:rsidR="009239FC" w:rsidRPr="00D44A0D">
        <w:rPr>
          <w:rFonts w:asciiTheme="minorHAnsi" w:hAnsiTheme="minorHAnsi" w:cstheme="minorHAnsi"/>
          <w:sz w:val="18"/>
          <w:szCs w:val="28"/>
        </w:rPr>
        <w:t>help clinicians and patients to make more informed decisions about diabetes care; increasing adherence to pharmacological treatment and motivating patients to make changes in their lifestyle.</w:t>
      </w:r>
      <w:r w:rsidR="003C648F" w:rsidRPr="00D44A0D">
        <w:rPr>
          <w:rFonts w:asciiTheme="minorHAnsi" w:hAnsiTheme="minorHAnsi" w:cstheme="minorHAnsi"/>
          <w:sz w:val="18"/>
          <w:szCs w:val="28"/>
        </w:rPr>
        <w:t xml:space="preserve">  </w:t>
      </w:r>
      <w:r w:rsidR="009239FC" w:rsidRPr="00D44A0D">
        <w:rPr>
          <w:rFonts w:asciiTheme="minorHAnsi" w:hAnsiTheme="minorHAnsi" w:cstheme="minorHAnsi"/>
          <w:sz w:val="18"/>
          <w:szCs w:val="28"/>
        </w:rPr>
        <w:t xml:space="preserve"> </w:t>
      </w:r>
      <w:r w:rsidRPr="00D44A0D">
        <w:rPr>
          <w:rFonts w:asciiTheme="minorHAnsi" w:hAnsiTheme="minorHAnsi" w:cstheme="minorHAnsi"/>
          <w:sz w:val="18"/>
          <w:szCs w:val="28"/>
        </w:rPr>
        <w:t xml:space="preserve"> </w:t>
      </w:r>
    </w:p>
    <w:p w14:paraId="45693FD9" w14:textId="714A0685" w:rsidR="00AE3E37" w:rsidRDefault="00A9710C" w:rsidP="009239FC">
      <w:pPr>
        <w:spacing w:before="62"/>
        <w:ind w:left="4217" w:right="4235"/>
        <w:jc w:val="center"/>
        <w:rPr>
          <w:rFonts w:ascii="Arial"/>
          <w:sz w:val="19"/>
        </w:rPr>
      </w:pPr>
      <w:r>
        <w:rPr>
          <w:rFonts w:ascii="Arial"/>
          <w:sz w:val="14"/>
        </w:rPr>
        <w:t xml:space="preserve">Email: </w:t>
      </w:r>
      <w:hyperlink r:id="rId14" w:history="1">
        <w:r w:rsidR="009239FC" w:rsidRPr="0085600B">
          <w:rPr>
            <w:rStyle w:val="Hipervnculo"/>
            <w:rFonts w:ascii="Arial"/>
            <w:sz w:val="14"/>
          </w:rPr>
          <w:t>dradulcedul@gmail.com</w:t>
        </w:r>
      </w:hyperlink>
      <w:r w:rsidR="00292ED9">
        <w:rPr>
          <w:noProof/>
          <w:lang w:val="en-IN" w:eastAsia="en-IN"/>
        </w:rPr>
        <mc:AlternateContent>
          <mc:Choice Requires="wps">
            <w:drawing>
              <wp:anchor distT="0" distB="0" distL="0" distR="0" simplePos="0" relativeHeight="1072" behindDoc="0" locked="0" layoutInCell="1" allowOverlap="1" wp14:anchorId="750E8437" wp14:editId="48F3263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040D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1238657" w14:textId="234ADA52" w:rsidR="00AE3E37" w:rsidRPr="00D44A0D" w:rsidRDefault="009239FC" w:rsidP="00D44A0D">
      <w:pPr>
        <w:spacing w:before="39"/>
        <w:ind w:left="100"/>
        <w:rPr>
          <w:rFonts w:ascii="Minion Pro"/>
          <w:b/>
          <w:sz w:val="20"/>
        </w:rPr>
        <w:sectPr w:rsidR="00AE3E37" w:rsidRPr="00D44A0D">
          <w:type w:val="continuous"/>
          <w:pgSz w:w="11910" w:h="16840"/>
          <w:pgMar w:top="1740" w:right="600" w:bottom="840" w:left="620" w:header="720" w:footer="720" w:gutter="0"/>
          <w:cols w:space="720"/>
        </w:sectPr>
      </w:pPr>
      <w:r>
        <w:rPr>
          <w:rFonts w:ascii="Minion Pro"/>
          <w:b/>
          <w:sz w:val="20"/>
        </w:rPr>
        <w:t xml:space="preserve"> </w:t>
      </w:r>
      <w:r w:rsidR="00A9710C" w:rsidRPr="00B21A57">
        <w:rPr>
          <w:rFonts w:ascii="Minion Pro"/>
          <w:b/>
          <w:sz w:val="20"/>
        </w:rPr>
        <w:t>Notes/Comments:</w:t>
      </w:r>
    </w:p>
    <w:p w14:paraId="7AE5BAF4"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A1E34" w14:textId="77777777" w:rsidR="00180185" w:rsidRDefault="00180185">
      <w:r>
        <w:separator/>
      </w:r>
    </w:p>
  </w:endnote>
  <w:endnote w:type="continuationSeparator" w:id="0">
    <w:p w14:paraId="0DFFA4B7" w14:textId="77777777" w:rsidR="00180185" w:rsidRDefault="00180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E2764"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60C78910" wp14:editId="61E20DD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D634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95B1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78910"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8BD634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95B1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383ADC6F" wp14:editId="45275F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9E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8242C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ADC6F" id="Text Box 2" o:spid="_x0000_s1029" type="#_x0000_t202" style="position:absolute;margin-left:252.1pt;margin-top:799.05pt;width:91.9pt;height:24.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EB29E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58242C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2576" behindDoc="1" locked="0" layoutInCell="1" allowOverlap="1" wp14:anchorId="128953CE" wp14:editId="3960C6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8569B"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765F7A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8953CE" id="Text Box 1" o:spid="_x0000_s1030" type="#_x0000_t202" style="position:absolute;margin-left:468.9pt;margin-top:798.8pt;width:91.4pt;height:26.0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238569B"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765F7A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F8130" w14:textId="77777777" w:rsidR="00180185" w:rsidRDefault="00180185">
      <w:r>
        <w:separator/>
      </w:r>
    </w:p>
  </w:footnote>
  <w:footnote w:type="continuationSeparator" w:id="0">
    <w:p w14:paraId="1376C932" w14:textId="77777777" w:rsidR="00180185" w:rsidRDefault="00180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BD75C"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251648000" behindDoc="1" locked="0" layoutInCell="1" allowOverlap="1" wp14:anchorId="644A76C1" wp14:editId="17BAC51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90D1A"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A76C1"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0A90D1A"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4144" behindDoc="1" locked="0" layoutInCell="1" allowOverlap="1" wp14:anchorId="73272026" wp14:editId="3F093F2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22DA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CE029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72026"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3F22DA6"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CCE029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CB87162"/>
    <w:multiLevelType w:val="hybridMultilevel"/>
    <w:tmpl w:val="028AE9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80185"/>
    <w:rsid w:val="001C5C35"/>
    <w:rsid w:val="00287CCA"/>
    <w:rsid w:val="00292ED9"/>
    <w:rsid w:val="002A196B"/>
    <w:rsid w:val="002B2804"/>
    <w:rsid w:val="003C648F"/>
    <w:rsid w:val="00404E5B"/>
    <w:rsid w:val="00414F7B"/>
    <w:rsid w:val="004355DC"/>
    <w:rsid w:val="004749B4"/>
    <w:rsid w:val="00494130"/>
    <w:rsid w:val="004F3523"/>
    <w:rsid w:val="005973B9"/>
    <w:rsid w:val="005B3A56"/>
    <w:rsid w:val="006060CE"/>
    <w:rsid w:val="0063497F"/>
    <w:rsid w:val="00650050"/>
    <w:rsid w:val="00873DF0"/>
    <w:rsid w:val="008756E6"/>
    <w:rsid w:val="009239FC"/>
    <w:rsid w:val="009B2D44"/>
    <w:rsid w:val="00A07E82"/>
    <w:rsid w:val="00A21916"/>
    <w:rsid w:val="00A2507E"/>
    <w:rsid w:val="00A9710C"/>
    <w:rsid w:val="00AE3E37"/>
    <w:rsid w:val="00B21A57"/>
    <w:rsid w:val="00BB6D42"/>
    <w:rsid w:val="00C33602"/>
    <w:rsid w:val="00CD6F55"/>
    <w:rsid w:val="00D44A0D"/>
    <w:rsid w:val="00DE1AF1"/>
    <w:rsid w:val="00DE3104"/>
    <w:rsid w:val="00F216F0"/>
    <w:rsid w:val="00F70B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C5F41F"/>
  <w15:docId w15:val="{B251046F-F1BE-425F-B40C-F89CBEB6D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styleId="Textonotapie">
    <w:name w:val="footnote text"/>
    <w:basedOn w:val="Normal"/>
    <w:link w:val="TextonotapieCar"/>
    <w:uiPriority w:val="99"/>
    <w:semiHidden/>
    <w:unhideWhenUsed/>
    <w:rsid w:val="00A2507E"/>
    <w:pPr>
      <w:widowControl/>
    </w:pPr>
    <w:rPr>
      <w:rFonts w:asciiTheme="minorHAnsi" w:eastAsiaTheme="minorHAnsi" w:hAnsiTheme="minorHAnsi" w:cstheme="minorBidi"/>
      <w:sz w:val="20"/>
      <w:szCs w:val="20"/>
      <w:lang w:val="es-MX"/>
    </w:rPr>
  </w:style>
  <w:style w:type="character" w:customStyle="1" w:styleId="TextonotapieCar">
    <w:name w:val="Texto nota pie Car"/>
    <w:basedOn w:val="Fuentedeprrafopredeter"/>
    <w:link w:val="Textonotapie"/>
    <w:uiPriority w:val="99"/>
    <w:semiHidden/>
    <w:rsid w:val="00A2507E"/>
    <w:rPr>
      <w:sz w:val="20"/>
      <w:szCs w:val="20"/>
      <w:lang w:val="es-MX"/>
    </w:rPr>
  </w:style>
  <w:style w:type="character" w:styleId="Mencinsinresolver">
    <w:name w:val="Unresolved Mention"/>
    <w:basedOn w:val="Fuentedeprrafopredeter"/>
    <w:uiPriority w:val="99"/>
    <w:semiHidden/>
    <w:unhideWhenUsed/>
    <w:rsid w:val="009239FC"/>
    <w:rPr>
      <w:color w:val="605E5C"/>
      <w:shd w:val="clear" w:color="auto" w:fill="E1DFDD"/>
    </w:rPr>
  </w:style>
  <w:style w:type="paragraph" w:styleId="Textonotaalfinal">
    <w:name w:val="endnote text"/>
    <w:basedOn w:val="Normal"/>
    <w:link w:val="TextonotaalfinalCar"/>
    <w:uiPriority w:val="99"/>
    <w:semiHidden/>
    <w:unhideWhenUsed/>
    <w:rsid w:val="00287CCA"/>
    <w:pPr>
      <w:widowControl/>
    </w:pPr>
    <w:rPr>
      <w:rFonts w:asciiTheme="minorHAnsi" w:eastAsiaTheme="minorHAnsi" w:hAnsiTheme="minorHAnsi" w:cstheme="minorBidi"/>
      <w:sz w:val="20"/>
      <w:szCs w:val="20"/>
    </w:rPr>
  </w:style>
  <w:style w:type="character" w:customStyle="1" w:styleId="TextonotaalfinalCar">
    <w:name w:val="Texto nota al final Car"/>
    <w:basedOn w:val="Fuentedeprrafopredeter"/>
    <w:link w:val="Textonotaalfinal"/>
    <w:uiPriority w:val="99"/>
    <w:semiHidden/>
    <w:rsid w:val="00287CC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13948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dradulcedul@gmail.com"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dradulcedu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761</Words>
  <Characters>4187</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Dulce Adelaida Rivera Avila</cp:lastModifiedBy>
  <cp:revision>6</cp:revision>
  <dcterms:created xsi:type="dcterms:W3CDTF">2016-09-02T09:16:00Z</dcterms:created>
  <dcterms:modified xsi:type="dcterms:W3CDTF">2021-05-09T01:06:00Z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