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2CE" w:rsidRPr="003E52CE" w:rsidRDefault="003E52CE" w:rsidP="003E52CE">
      <w:pPr>
        <w:spacing w:line="360" w:lineRule="auto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3E5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Plasma 25(OH</w:t>
      </w:r>
      <w:proofErr w:type="gramStart"/>
      <w:r w:rsidRPr="003E5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)D</w:t>
      </w:r>
      <w:proofErr w:type="gramEnd"/>
      <w:r w:rsidRPr="003E5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Concentrations and Gestational Diabetes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E5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Mellitus among Pregnant Women in Taiwan</w:t>
      </w:r>
    </w:p>
    <w:p w:rsidR="0048330A" w:rsidRPr="003E52CE" w:rsidRDefault="003E52CE" w:rsidP="003E52CE">
      <w:pPr>
        <w:spacing w:before="120" w:after="240"/>
        <w:jc w:val="both"/>
        <w:rPr>
          <w:rFonts w:ascii="Times New Roman" w:hAnsi="Times New Roman" w:cs="Times New Roman"/>
          <w:sz w:val="28"/>
          <w:szCs w:val="28"/>
        </w:rPr>
      </w:pPr>
      <w:r w:rsidRPr="003E52CE">
        <w:rPr>
          <w:rStyle w:val="fontstyle01"/>
          <w:rFonts w:ascii="Times New Roman" w:hAnsi="Times New Roman" w:cs="Times New Roman"/>
          <w:sz w:val="28"/>
          <w:szCs w:val="28"/>
        </w:rPr>
        <w:t xml:space="preserve">Abstract: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Vitamin D’s function in the deve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lopment of gestational diabetes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mellitus (GDM) is not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consistent in the literatu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re. We examined the association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between maternal plasma 25(OH</w:t>
      </w:r>
      <w:proofErr w:type="gram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)D</w:t>
      </w:r>
      <w:proofErr w:type="gram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 concentration and GDM risk. A national cross-</w:t>
      </w:r>
      <w:r>
        <w:rPr>
          <w:rStyle w:val="fontstyle21"/>
          <w:rFonts w:ascii="Times New Roman" w:hAnsi="Times New Roman" w:cs="Times New Roman"/>
          <w:sz w:val="28"/>
          <w:szCs w:val="28"/>
        </w:rPr>
        <w:t>s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ectional study (1497 pregnant women) was conducted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between 2017 and 2019 across Taiwan. Blood samples were drawn at recruitment to assess 25(OH</w:t>
      </w:r>
      <w:proofErr w:type="gram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)D</w:t>
      </w:r>
      <w:proofErr w:type="gramEnd"/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concentrations, including vitamin D deficiency (VDD) (&lt;20 </w:t>
      </w:r>
      <w:proofErr w:type="spell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ng</w:t>
      </w:r>
      <w:proofErr w:type="spell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/mL), insufficiency (&lt;32 </w:t>
      </w:r>
      <w:proofErr w:type="spell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ng</w:t>
      </w:r>
      <w:proofErr w:type="spell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/mL),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and sufficiency (</w:t>
      </w:r>
      <w:r w:rsidRPr="003E52CE">
        <w:rPr>
          <w:rStyle w:val="fontstyle31"/>
          <w:rFonts w:ascii="Times New Roman" w:hAnsi="Times New Roman" w:cs="Times New Roman"/>
          <w:sz w:val="28"/>
          <w:szCs w:val="28"/>
        </w:rPr>
        <w:t>≥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32 </w:t>
      </w:r>
      <w:proofErr w:type="spell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ng</w:t>
      </w:r>
      <w:proofErr w:type="spell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/mL). GDM was detected from 24 to 28 weeks of gestation with the results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extracted from the antenatal visit records. The prevalence of GDM was 2.9%. Logistic model analysis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showed that 25(OH</w:t>
      </w:r>
      <w:proofErr w:type="gram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)D</w:t>
      </w:r>
      <w:proofErr w:type="gram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 concentrations were not significantly associated with the risk of GDM (adjusted odds ratio (AOR) = 0.97, </w:t>
      </w:r>
      <w:r w:rsidRPr="003E52CE">
        <w:rPr>
          <w:rStyle w:val="fontstyle41"/>
          <w:rFonts w:ascii="Times New Roman" w:hAnsi="Times New Roman" w:cs="Times New Roman"/>
          <w:sz w:val="28"/>
          <w:szCs w:val="28"/>
        </w:rPr>
        <w:t xml:space="preserve">p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= 0.144). However, subjects with VDD had a significantly greater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risk of GDM (AOR = 2.26, </w:t>
      </w:r>
      <w:r w:rsidRPr="003E52CE">
        <w:rPr>
          <w:rStyle w:val="fontstyle41"/>
          <w:rFonts w:ascii="Times New Roman" w:hAnsi="Times New Roman" w:cs="Times New Roman"/>
          <w:sz w:val="28"/>
          <w:szCs w:val="28"/>
        </w:rPr>
        <w:t xml:space="preserve">p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= 0.041), but not in those with vitamin D insufficiency (AOR = 1.20,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41"/>
          <w:rFonts w:ascii="Times New Roman" w:hAnsi="Times New Roman" w:cs="Times New Roman"/>
          <w:sz w:val="28"/>
          <w:szCs w:val="28"/>
        </w:rPr>
        <w:t xml:space="preserve">p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= 0.655). Furthermore, cubic piecewise spline regression was used to explore the relationship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between five-unit intervals of 25(OH</w:t>
      </w:r>
      <w:proofErr w:type="gram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)D</w:t>
      </w:r>
      <w:proofErr w:type="gram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 and the predicted probability of GDM. As the proportion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of GDM increased for low 25(OH</w:t>
      </w:r>
      <w:proofErr w:type="gram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)D</w:t>
      </w:r>
      <w:proofErr w:type="gram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 concentrations, it decreased at moderate concentrations and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increased again at higher concentrations. These findings revealed a nonlinear relationship between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25(OH</w:t>
      </w:r>
      <w:proofErr w:type="gram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)D</w:t>
      </w:r>
      <w:proofErr w:type="gram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 and GDM risk. VDD would be risky for GDM occurrence.</w:t>
      </w:r>
      <w:r w:rsidRPr="003E52C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E52CE">
        <w:rPr>
          <w:rStyle w:val="fontstyle01"/>
          <w:rFonts w:ascii="Times New Roman" w:hAnsi="Times New Roman" w:cs="Times New Roman"/>
          <w:sz w:val="28"/>
          <w:szCs w:val="28"/>
        </w:rPr>
        <w:t xml:space="preserve">Keywords: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gestational diabetes mellitus; 25(OH</w:t>
      </w:r>
      <w:proofErr w:type="gramStart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)D</w:t>
      </w:r>
      <w:proofErr w:type="gramEnd"/>
      <w:r w:rsidRPr="003E52CE">
        <w:rPr>
          <w:rStyle w:val="fontstyle21"/>
          <w:rFonts w:ascii="Times New Roman" w:hAnsi="Times New Roman" w:cs="Times New Roman"/>
          <w:sz w:val="28"/>
          <w:szCs w:val="28"/>
        </w:rPr>
        <w:t xml:space="preserve"> concentration; vitamin D deficiency; pregnant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3E52CE">
        <w:rPr>
          <w:rStyle w:val="fontstyle21"/>
          <w:rFonts w:ascii="Times New Roman" w:hAnsi="Times New Roman" w:cs="Times New Roman"/>
          <w:sz w:val="28"/>
          <w:szCs w:val="28"/>
        </w:rPr>
        <w:t>women</w:t>
      </w:r>
      <w:bookmarkStart w:id="0" w:name="_GoBack"/>
      <w:bookmarkEnd w:id="0"/>
    </w:p>
    <w:sectPr w:rsidR="0048330A" w:rsidRPr="003E5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Bold">
    <w:altName w:val="Times New Roman"/>
    <w:panose1 w:val="00000000000000000000"/>
    <w:charset w:val="00"/>
    <w:family w:val="roman"/>
    <w:notTrueType/>
    <w:pitch w:val="default"/>
  </w:font>
  <w:font w:name="URWPalladioL-Roma">
    <w:altName w:val="Times New Roman"/>
    <w:panose1 w:val="00000000000000000000"/>
    <w:charset w:val="00"/>
    <w:family w:val="roman"/>
    <w:notTrueType/>
    <w:pitch w:val="default"/>
  </w:font>
  <w:font w:name="CMSY10">
    <w:altName w:val="Times New Roman"/>
    <w:panose1 w:val="00000000000000000000"/>
    <w:charset w:val="00"/>
    <w:family w:val="roman"/>
    <w:notTrueType/>
    <w:pitch w:val="default"/>
  </w:font>
  <w:font w:name="URWPalladioL-It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2CE"/>
    <w:rsid w:val="000F753B"/>
    <w:rsid w:val="003E52CE"/>
    <w:rsid w:val="0048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E52CE"/>
    <w:rPr>
      <w:rFonts w:ascii="URWPalladioL-Bold" w:hAnsi="URWPalladioL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3E52CE"/>
    <w:rPr>
      <w:rFonts w:ascii="URWPalladioL-Roma" w:hAnsi="URWPalladioL-Rom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3E52CE"/>
    <w:rPr>
      <w:rFonts w:ascii="CMSY10" w:hAnsi="CMSY10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3E52CE"/>
    <w:rPr>
      <w:rFonts w:ascii="URWPalladioL-Ital" w:hAnsi="URWPalladioL-Ital" w:hint="default"/>
      <w:b w:val="0"/>
      <w:bCs w:val="0"/>
      <w:i/>
      <w:i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E52CE"/>
    <w:rPr>
      <w:rFonts w:ascii="URWPalladioL-Bold" w:hAnsi="URWPalladioL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3E52CE"/>
    <w:rPr>
      <w:rFonts w:ascii="URWPalladioL-Roma" w:hAnsi="URWPalladioL-Rom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3E52CE"/>
    <w:rPr>
      <w:rFonts w:ascii="CMSY10" w:hAnsi="CMSY10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3E52CE"/>
    <w:rPr>
      <w:rFonts w:ascii="URWPalladioL-Ital" w:hAnsi="URWPalladioL-Ital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2021-08-16T10:13:00Z</dcterms:created>
  <dcterms:modified xsi:type="dcterms:W3CDTF">2021-08-16T10:17:00Z</dcterms:modified>
</cp:coreProperties>
</file>