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4CB" w:rsidRPr="00E424CB" w:rsidRDefault="00E424CB" w:rsidP="00E424CB">
      <w:pPr>
        <w:rPr>
          <w:color w:val="000000" w:themeColor="text1"/>
          <w:sz w:val="32"/>
          <w:szCs w:val="32"/>
        </w:rPr>
      </w:pPr>
      <w:r w:rsidRPr="00E424CB">
        <w:rPr>
          <w:color w:val="000000" w:themeColor="text1"/>
          <w:sz w:val="32"/>
          <w:szCs w:val="32"/>
        </w:rPr>
        <w:t xml:space="preserve">Running Title: Clinical analysis of </w:t>
      </w:r>
      <w:proofErr w:type="spellStart"/>
      <w:r w:rsidRPr="00E424CB">
        <w:rPr>
          <w:color w:val="000000" w:themeColor="text1"/>
          <w:sz w:val="32"/>
          <w:szCs w:val="32"/>
        </w:rPr>
        <w:t>hyponatremia</w:t>
      </w:r>
      <w:proofErr w:type="spellEnd"/>
    </w:p>
    <w:p w:rsidR="00E424CB" w:rsidRPr="00E424CB" w:rsidRDefault="00E424CB" w:rsidP="00E424CB">
      <w:pPr>
        <w:rPr>
          <w:color w:val="000000" w:themeColor="text1"/>
          <w:sz w:val="32"/>
          <w:szCs w:val="32"/>
        </w:rPr>
      </w:pPr>
      <w:r w:rsidRPr="00E424CB">
        <w:rPr>
          <w:color w:val="000000" w:themeColor="text1"/>
          <w:sz w:val="32"/>
          <w:szCs w:val="32"/>
        </w:rPr>
        <w:t>Conflict of interests: None declare</w:t>
      </w:r>
      <w:r w:rsidRPr="00E424CB">
        <w:rPr>
          <w:rFonts w:hint="eastAsia"/>
          <w:color w:val="000000" w:themeColor="text1"/>
          <w:sz w:val="32"/>
          <w:szCs w:val="32"/>
        </w:rPr>
        <w:t>d</w:t>
      </w:r>
    </w:p>
    <w:p w:rsidR="00E424CB" w:rsidRDefault="00E424CB" w:rsidP="00E424CB"/>
    <w:p w:rsidR="00E424CB" w:rsidRPr="00E424CB" w:rsidRDefault="00E424CB" w:rsidP="00E424CB">
      <w:pPr>
        <w:rPr>
          <w:sz w:val="28"/>
          <w:szCs w:val="28"/>
        </w:rPr>
      </w:pPr>
      <w:r w:rsidRPr="00E424CB">
        <w:rPr>
          <w:sz w:val="28"/>
          <w:szCs w:val="28"/>
        </w:rPr>
        <w:t>ABSTRACT</w:t>
      </w:r>
    </w:p>
    <w:p w:rsidR="00E424CB" w:rsidRDefault="00E424CB" w:rsidP="00E424CB"/>
    <w:p w:rsidR="00E424CB" w:rsidRPr="00E424CB" w:rsidRDefault="00E424CB" w:rsidP="00E424CB">
      <w:pPr>
        <w:rPr>
          <w:sz w:val="24"/>
          <w:szCs w:val="24"/>
        </w:rPr>
      </w:pPr>
      <w:r w:rsidRPr="00E424CB">
        <w:rPr>
          <w:b/>
          <w:sz w:val="24"/>
          <w:szCs w:val="24"/>
        </w:rPr>
        <w:t>Aims</w:t>
      </w:r>
      <w:r w:rsidRPr="00E424CB">
        <w:rPr>
          <w:sz w:val="24"/>
          <w:szCs w:val="24"/>
        </w:rPr>
        <w:t xml:space="preserve">: To determine the incidence, clinical features, etiology, risk factors and mortality in internal medicine patients with </w:t>
      </w:r>
      <w:proofErr w:type="spellStart"/>
      <w:r w:rsidRPr="00E424CB">
        <w:rPr>
          <w:sz w:val="24"/>
          <w:szCs w:val="24"/>
        </w:rPr>
        <w:t>hyponatremia</w:t>
      </w:r>
      <w:proofErr w:type="spellEnd"/>
      <w:r w:rsidRPr="00E424CB">
        <w:rPr>
          <w:sz w:val="24"/>
          <w:szCs w:val="24"/>
        </w:rPr>
        <w:t>.</w:t>
      </w:r>
    </w:p>
    <w:p w:rsidR="00E424CB" w:rsidRPr="00E424CB" w:rsidRDefault="00E424CB" w:rsidP="00E424CB">
      <w:pPr>
        <w:rPr>
          <w:sz w:val="24"/>
          <w:szCs w:val="24"/>
        </w:rPr>
      </w:pPr>
    </w:p>
    <w:p w:rsidR="00E424CB" w:rsidRPr="00E424CB" w:rsidRDefault="00E424CB" w:rsidP="00E424CB">
      <w:pPr>
        <w:rPr>
          <w:sz w:val="24"/>
          <w:szCs w:val="24"/>
        </w:rPr>
      </w:pPr>
      <w:r w:rsidRPr="00E424CB">
        <w:rPr>
          <w:b/>
          <w:sz w:val="24"/>
          <w:szCs w:val="24"/>
        </w:rPr>
        <w:t>Methods:</w:t>
      </w:r>
      <w:r w:rsidRPr="00E424CB">
        <w:rPr>
          <w:sz w:val="24"/>
          <w:szCs w:val="24"/>
        </w:rPr>
        <w:t xml:space="preserve"> A prospective survey was conducted in patients with </w:t>
      </w:r>
      <w:proofErr w:type="spellStart"/>
      <w:r w:rsidRPr="00E424CB">
        <w:rPr>
          <w:sz w:val="24"/>
          <w:szCs w:val="24"/>
        </w:rPr>
        <w:t>hyponatremia</w:t>
      </w:r>
      <w:proofErr w:type="spellEnd"/>
      <w:r w:rsidRPr="00E424CB">
        <w:rPr>
          <w:sz w:val="24"/>
          <w:szCs w:val="24"/>
        </w:rPr>
        <w:t xml:space="preserve">, diagnosed at admission in an Internal Medicine Department. 692 patients were then selected and subsequently divided into three groups based on the severity of </w:t>
      </w:r>
      <w:proofErr w:type="spellStart"/>
      <w:r w:rsidRPr="00E424CB">
        <w:rPr>
          <w:sz w:val="24"/>
          <w:szCs w:val="24"/>
        </w:rPr>
        <w:t>hyponatremia</w:t>
      </w:r>
      <w:proofErr w:type="spellEnd"/>
      <w:r w:rsidRPr="00E424CB">
        <w:rPr>
          <w:sz w:val="24"/>
          <w:szCs w:val="24"/>
        </w:rPr>
        <w:t xml:space="preserve">. Multivariate linear regression analysis was used to explore the factors associated with levels of </w:t>
      </w:r>
      <w:proofErr w:type="spellStart"/>
      <w:r w:rsidRPr="00E424CB">
        <w:rPr>
          <w:sz w:val="24"/>
          <w:szCs w:val="24"/>
        </w:rPr>
        <w:t>hyponatremia</w:t>
      </w:r>
      <w:proofErr w:type="spellEnd"/>
      <w:r w:rsidRPr="00E424CB">
        <w:rPr>
          <w:sz w:val="24"/>
          <w:szCs w:val="24"/>
        </w:rPr>
        <w:t>.</w:t>
      </w:r>
    </w:p>
    <w:p w:rsidR="00E424CB" w:rsidRPr="00E424CB" w:rsidRDefault="00E424CB" w:rsidP="00E424CB">
      <w:pPr>
        <w:rPr>
          <w:sz w:val="24"/>
          <w:szCs w:val="24"/>
        </w:rPr>
      </w:pPr>
    </w:p>
    <w:p w:rsidR="00E424CB" w:rsidRPr="00E424CB" w:rsidRDefault="00E424CB" w:rsidP="00E424CB">
      <w:pPr>
        <w:rPr>
          <w:sz w:val="24"/>
          <w:szCs w:val="24"/>
        </w:rPr>
      </w:pPr>
      <w:r w:rsidRPr="00E424CB">
        <w:rPr>
          <w:b/>
          <w:sz w:val="24"/>
          <w:szCs w:val="24"/>
        </w:rPr>
        <w:t>Results:</w:t>
      </w:r>
      <w:r w:rsidRPr="00E424CB">
        <w:rPr>
          <w:sz w:val="24"/>
          <w:szCs w:val="24"/>
        </w:rPr>
        <w:t xml:space="preserve"> The prevalence of </w:t>
      </w:r>
      <w:proofErr w:type="spellStart"/>
      <w:r w:rsidRPr="00E424CB">
        <w:rPr>
          <w:sz w:val="24"/>
          <w:szCs w:val="24"/>
        </w:rPr>
        <w:t>hyponatremia</w:t>
      </w:r>
      <w:proofErr w:type="spellEnd"/>
      <w:r w:rsidRPr="00E424CB">
        <w:rPr>
          <w:sz w:val="24"/>
          <w:szCs w:val="24"/>
        </w:rPr>
        <w:t xml:space="preserve"> was 3.37%. </w:t>
      </w:r>
      <w:proofErr w:type="spellStart"/>
      <w:r w:rsidRPr="00E424CB">
        <w:rPr>
          <w:sz w:val="24"/>
          <w:szCs w:val="24"/>
        </w:rPr>
        <w:t>Euvolemia</w:t>
      </w:r>
      <w:proofErr w:type="spellEnd"/>
      <w:r w:rsidRPr="00E424CB">
        <w:rPr>
          <w:sz w:val="24"/>
          <w:szCs w:val="24"/>
        </w:rPr>
        <w:t xml:space="preserve"> </w:t>
      </w:r>
      <w:proofErr w:type="spellStart"/>
      <w:r w:rsidRPr="00E424CB">
        <w:rPr>
          <w:sz w:val="24"/>
          <w:szCs w:val="24"/>
        </w:rPr>
        <w:t>hyponatremia</w:t>
      </w:r>
      <w:proofErr w:type="spellEnd"/>
      <w:r w:rsidRPr="00E424CB">
        <w:rPr>
          <w:sz w:val="24"/>
          <w:szCs w:val="24"/>
        </w:rPr>
        <w:t xml:space="preserve"> was the predominant subtype in three types of </w:t>
      </w:r>
      <w:proofErr w:type="spellStart"/>
      <w:r w:rsidRPr="00E424CB">
        <w:rPr>
          <w:sz w:val="24"/>
          <w:szCs w:val="24"/>
        </w:rPr>
        <w:t>hyponatremia</w:t>
      </w:r>
      <w:proofErr w:type="spellEnd"/>
      <w:r w:rsidRPr="00E424CB">
        <w:rPr>
          <w:sz w:val="24"/>
          <w:szCs w:val="24"/>
        </w:rPr>
        <w:t xml:space="preserve"> (49.42%). Gastrointestinal and neurological manifestations were common </w:t>
      </w:r>
      <w:proofErr w:type="spellStart"/>
      <w:r w:rsidRPr="00E424CB">
        <w:rPr>
          <w:sz w:val="24"/>
          <w:szCs w:val="24"/>
        </w:rPr>
        <w:t>hyponatremic</w:t>
      </w:r>
      <w:proofErr w:type="spellEnd"/>
      <w:r w:rsidRPr="00E424CB">
        <w:rPr>
          <w:sz w:val="24"/>
          <w:szCs w:val="24"/>
        </w:rPr>
        <w:t xml:space="preserve"> symptoms. The leading five underlying diagnoses were chest infection (31.94%), malignancy (10.84%), cardiac disease (6.36%), liver cirrhosis (6.07%), and neurological disease (5.20%). Moderate and severe </w:t>
      </w:r>
      <w:proofErr w:type="spellStart"/>
      <w:r w:rsidRPr="00E424CB">
        <w:rPr>
          <w:sz w:val="24"/>
          <w:szCs w:val="24"/>
        </w:rPr>
        <w:t>hyponatremia</w:t>
      </w:r>
      <w:proofErr w:type="spellEnd"/>
      <w:r w:rsidRPr="00E424CB">
        <w:rPr>
          <w:sz w:val="24"/>
          <w:szCs w:val="24"/>
        </w:rPr>
        <w:t xml:space="preserve"> had higher mortalities than mild </w:t>
      </w:r>
      <w:proofErr w:type="spellStart"/>
      <w:r w:rsidRPr="00E424CB">
        <w:rPr>
          <w:sz w:val="24"/>
          <w:szCs w:val="24"/>
        </w:rPr>
        <w:t>hyponatremia</w:t>
      </w:r>
      <w:proofErr w:type="spellEnd"/>
      <w:r w:rsidRPr="00E424CB">
        <w:rPr>
          <w:sz w:val="24"/>
          <w:szCs w:val="24"/>
        </w:rPr>
        <w:t xml:space="preserve"> (P &lt; 0.05). For the levels of serum Na, Age and serum </w:t>
      </w:r>
      <w:proofErr w:type="spellStart"/>
      <w:r w:rsidRPr="00E424CB">
        <w:rPr>
          <w:sz w:val="24"/>
          <w:szCs w:val="24"/>
        </w:rPr>
        <w:t>Cl</w:t>
      </w:r>
      <w:proofErr w:type="spellEnd"/>
      <w:r w:rsidRPr="00E424CB">
        <w:rPr>
          <w:sz w:val="24"/>
          <w:szCs w:val="24"/>
        </w:rPr>
        <w:t xml:space="preserve"> </w:t>
      </w:r>
      <w:proofErr w:type="gramStart"/>
      <w:r w:rsidRPr="00E424CB">
        <w:rPr>
          <w:sz w:val="24"/>
          <w:szCs w:val="24"/>
        </w:rPr>
        <w:t>were</w:t>
      </w:r>
      <w:proofErr w:type="gramEnd"/>
      <w:r w:rsidRPr="00E424CB">
        <w:rPr>
          <w:sz w:val="24"/>
          <w:szCs w:val="24"/>
        </w:rPr>
        <w:t xml:space="preserve"> positively correlated while serum K, BUN and </w:t>
      </w:r>
      <w:proofErr w:type="spellStart"/>
      <w:r w:rsidRPr="00E424CB">
        <w:rPr>
          <w:sz w:val="24"/>
          <w:szCs w:val="24"/>
        </w:rPr>
        <w:t>Glu</w:t>
      </w:r>
      <w:proofErr w:type="spellEnd"/>
      <w:r w:rsidRPr="00E424CB">
        <w:rPr>
          <w:sz w:val="24"/>
          <w:szCs w:val="24"/>
        </w:rPr>
        <w:t xml:space="preserve"> were negatively correlated (P &lt; 0.05).</w:t>
      </w:r>
    </w:p>
    <w:p w:rsidR="00E424CB" w:rsidRPr="00E424CB" w:rsidRDefault="00E424CB" w:rsidP="00E424CB">
      <w:pPr>
        <w:rPr>
          <w:sz w:val="24"/>
          <w:szCs w:val="24"/>
        </w:rPr>
      </w:pPr>
    </w:p>
    <w:p w:rsidR="00E424CB" w:rsidRPr="00E424CB" w:rsidRDefault="00E424CB" w:rsidP="00E424CB">
      <w:pPr>
        <w:rPr>
          <w:sz w:val="24"/>
          <w:szCs w:val="24"/>
        </w:rPr>
      </w:pPr>
      <w:r w:rsidRPr="00E424CB">
        <w:rPr>
          <w:b/>
          <w:sz w:val="24"/>
          <w:szCs w:val="24"/>
        </w:rPr>
        <w:t>Conclusions:</w:t>
      </w:r>
      <w:r w:rsidRPr="00E424CB">
        <w:rPr>
          <w:sz w:val="24"/>
          <w:szCs w:val="24"/>
        </w:rPr>
        <w:t xml:space="preserve"> </w:t>
      </w:r>
      <w:proofErr w:type="spellStart"/>
      <w:r w:rsidRPr="00E424CB">
        <w:rPr>
          <w:sz w:val="24"/>
          <w:szCs w:val="24"/>
        </w:rPr>
        <w:t>Hyponatremia</w:t>
      </w:r>
      <w:proofErr w:type="spellEnd"/>
      <w:r w:rsidRPr="00E424CB">
        <w:rPr>
          <w:sz w:val="24"/>
          <w:szCs w:val="24"/>
        </w:rPr>
        <w:t xml:space="preserve"> is common in internal medicine and accompanied by other electrolyte disturbances, various symptoms/diagnoses and increased mortalities with </w:t>
      </w:r>
      <w:proofErr w:type="spellStart"/>
      <w:r w:rsidRPr="00E424CB">
        <w:rPr>
          <w:sz w:val="24"/>
          <w:szCs w:val="24"/>
        </w:rPr>
        <w:t>decresing</w:t>
      </w:r>
      <w:proofErr w:type="spellEnd"/>
      <w:r w:rsidRPr="00E424CB">
        <w:rPr>
          <w:sz w:val="24"/>
          <w:szCs w:val="24"/>
        </w:rPr>
        <w:t xml:space="preserve"> Na, which requires special attention in clinical practice.</w:t>
      </w:r>
    </w:p>
    <w:p w:rsidR="003B7732" w:rsidRPr="00E424CB" w:rsidRDefault="003B7732">
      <w:pPr>
        <w:rPr>
          <w:rFonts w:hint="eastAsia"/>
        </w:rPr>
      </w:pPr>
    </w:p>
    <w:sectPr w:rsidR="003B7732" w:rsidRPr="00E424CB" w:rsidSect="003B77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Y0sTQysbAwMjQ1NzW2tDBW0lEKTi0uzszPAykwrAUAQUYRPSwAAAA="/>
  </w:docVars>
  <w:rsids>
    <w:rsidRoot w:val="00E424CB"/>
    <w:rsid w:val="003B7732"/>
    <w:rsid w:val="00E42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7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8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1247</Characters>
  <Application>Microsoft Office Word</Application>
  <DocSecurity>0</DocSecurity>
  <Lines>10</Lines>
  <Paragraphs>2</Paragraphs>
  <ScaleCrop>false</ScaleCrop>
  <Company>Microsoft</Company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Shuo Yang</dc:creator>
  <cp:lastModifiedBy>Shuo Yang</cp:lastModifiedBy>
  <cp:revision>1</cp:revision>
  <dcterms:created xsi:type="dcterms:W3CDTF">2017-09-07T09:07:00Z</dcterms:created>
  <dcterms:modified xsi:type="dcterms:W3CDTF">2017-09-07T09:08:00Z</dcterms:modified>
</cp:coreProperties>
</file>