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15FE0" w:rsidP="00494130">
      <w:pPr>
        <w:pStyle w:val="Heading1"/>
        <w:spacing w:before="170"/>
        <w:ind w:left="0"/>
      </w:pPr>
      <w:r>
        <w:rPr>
          <w:color w:val="337AB7"/>
        </w:rPr>
        <w:t>Effective methods to i</w:t>
      </w:r>
      <w:r w:rsidRPr="00215FE0">
        <w:rPr>
          <w:color w:val="337AB7"/>
        </w:rPr>
        <w:t xml:space="preserve">mprove </w:t>
      </w:r>
      <w:r>
        <w:rPr>
          <w:color w:val="337AB7"/>
        </w:rPr>
        <w:t xml:space="preserve">electrical conductivity and </w:t>
      </w:r>
      <w:r w:rsidRPr="00215FE0">
        <w:rPr>
          <w:color w:val="337AB7"/>
        </w:rPr>
        <w:t xml:space="preserve">Seebeck </w:t>
      </w:r>
      <w:r>
        <w:rPr>
          <w:color w:val="337AB7"/>
        </w:rPr>
        <w:t>c</w:t>
      </w:r>
      <w:r w:rsidRPr="00215FE0">
        <w:rPr>
          <w:color w:val="337AB7"/>
        </w:rPr>
        <w:t xml:space="preserve">oefficient of </w:t>
      </w:r>
      <w:r>
        <w:rPr>
          <w:color w:val="337AB7"/>
        </w:rPr>
        <w:t xml:space="preserve">thermoelectric </w:t>
      </w:r>
      <w:r w:rsidRPr="00215FE0">
        <w:rPr>
          <w:color w:val="337AB7"/>
        </w:rPr>
        <w:t xml:space="preserve">PEDOT:PSS </w:t>
      </w:r>
      <w:r>
        <w:rPr>
          <w:color w:val="337AB7"/>
        </w:rPr>
        <w:t>f</w:t>
      </w:r>
      <w:r w:rsidRPr="00215FE0">
        <w:rPr>
          <w:color w:val="337AB7"/>
        </w:rPr>
        <w:t>ilm</w:t>
      </w:r>
      <w:r>
        <w:rPr>
          <w:color w:val="337AB7"/>
        </w:rPr>
        <w:t>s</w:t>
      </w:r>
      <w:r w:rsidRPr="00215FE0">
        <w:rPr>
          <w:color w:val="337AB7"/>
        </w:rPr>
        <w:t xml:space="preserve"> </w:t>
      </w:r>
    </w:p>
    <w:p w:rsidR="005973B9" w:rsidRDefault="00215FE0" w:rsidP="005973B9">
      <w:pPr>
        <w:pStyle w:val="BodyText"/>
        <w:spacing w:before="73" w:line="198" w:lineRule="exact"/>
        <w:ind w:left="100" w:right="5987"/>
        <w:rPr>
          <w:rFonts w:ascii="Arial"/>
        </w:rPr>
      </w:pPr>
      <w:r>
        <w:rPr>
          <w:rFonts w:ascii="Arial"/>
        </w:rPr>
        <w:t>Jianwei Xu</w:t>
      </w:r>
      <w:r w:rsidR="005973B9">
        <w:rPr>
          <w:rFonts w:ascii="Arial"/>
        </w:rPr>
        <w:t>,</w:t>
      </w:r>
      <w:r>
        <w:rPr>
          <w:rFonts w:ascii="Arial"/>
        </w:rPr>
        <w:t xml:space="preserve"> Institute of Materials Research and Engineering (IMRE), the Agency for Science, Technology and Research (A*STAR), Singapore</w:t>
      </w:r>
    </w:p>
    <w:p w:rsidR="007C1762" w:rsidRDefault="007C1762" w:rsidP="007A7807">
      <w:pPr>
        <w:pStyle w:val="BodyText"/>
        <w:spacing w:before="90" w:line="280" w:lineRule="auto"/>
        <w:ind w:left="100"/>
        <w:jc w:val="both"/>
      </w:pPr>
    </w:p>
    <w:p w:rsidR="007A7807" w:rsidRDefault="00215FE0" w:rsidP="007A7807">
      <w:pPr>
        <w:pStyle w:val="BodyText"/>
        <w:spacing w:before="90" w:line="280" w:lineRule="auto"/>
        <w:ind w:left="100"/>
        <w:jc w:val="both"/>
      </w:pPr>
      <w:r>
        <w:t xml:space="preserve">Thermoelectric energy conversion that </w:t>
      </w:r>
      <w:r>
        <w:t>converts</w:t>
      </w:r>
      <w:r>
        <w:t xml:space="preserve"> waste heat into electricity has attracted much attention as a </w:t>
      </w:r>
      <w:r>
        <w:t>potential clean energy technology</w:t>
      </w:r>
      <w:r>
        <w:t xml:space="preserve">. The performance of </w:t>
      </w:r>
      <w:r>
        <w:t>thermoelectric</w:t>
      </w:r>
      <w:r>
        <w:t xml:space="preserve"> materials is </w:t>
      </w:r>
      <w:r>
        <w:t>determined</w:t>
      </w:r>
      <w:r>
        <w:t xml:space="preserve"> by the dimensionless figure of merit (ZT), which is </w:t>
      </w:r>
      <w:r>
        <w:t>equal to</w:t>
      </w:r>
      <w:r>
        <w:t xml:space="preserve"> </w:t>
      </w:r>
      <w:r>
        <w:rPr>
          <w:rFonts w:ascii="Calibri" w:hAnsi="Calibri" w:cs="Calibri"/>
        </w:rPr>
        <w:t>σ</w:t>
      </w:r>
      <w:r>
        <w:t>S2T/</w:t>
      </w:r>
      <w:r>
        <w:rPr>
          <w:rFonts w:ascii="Calibri" w:hAnsi="Calibri" w:cs="Calibri"/>
        </w:rPr>
        <w:t>κ</w:t>
      </w:r>
      <w:r>
        <w:t xml:space="preserve"> where the </w:t>
      </w:r>
      <w:r>
        <w:rPr>
          <w:rFonts w:ascii="Calibri" w:hAnsi="Calibri" w:cs="Calibri"/>
        </w:rPr>
        <w:t>κ</w:t>
      </w:r>
      <w:r>
        <w:t xml:space="preserve"> is the thermal conductivity, the S is the Seebeck coefficient and the </w:t>
      </w:r>
      <w:r>
        <w:rPr>
          <w:rFonts w:ascii="Calibri" w:hAnsi="Calibri" w:cs="Calibri"/>
        </w:rPr>
        <w:t>σ</w:t>
      </w:r>
      <w:r>
        <w:t xml:space="preserve"> is the electrical conductivity. The </w:t>
      </w:r>
      <w:r>
        <w:rPr>
          <w:rFonts w:ascii="Calibri" w:hAnsi="Calibri" w:cs="Calibri"/>
        </w:rPr>
        <w:t>σ</w:t>
      </w:r>
      <w:r>
        <w:t>S</w:t>
      </w:r>
      <w:r w:rsidRPr="00215FE0">
        <w:rPr>
          <w:vertAlign w:val="superscript"/>
        </w:rPr>
        <w:t>2</w:t>
      </w:r>
      <w:r>
        <w:t xml:space="preserve"> stands the power factor</w:t>
      </w:r>
      <w:r>
        <w:t xml:space="preserve">. Even though a low k and a high-PF are needed to </w:t>
      </w:r>
      <w:r>
        <w:t>reach</w:t>
      </w:r>
      <w:r>
        <w:t xml:space="preserve"> high ZT values, the conflicting relationship between the S and the </w:t>
      </w:r>
      <w:r>
        <w:rPr>
          <w:rFonts w:ascii="Calibri" w:hAnsi="Calibri" w:cs="Calibri"/>
        </w:rPr>
        <w:t>σ</w:t>
      </w:r>
      <w:r>
        <w:t xml:space="preserve"> limits the further modulation of ZT of </w:t>
      </w:r>
      <w:r w:rsidRPr="00215FE0">
        <w:t>thermoelectric</w:t>
      </w:r>
      <w:r>
        <w:t xml:space="preserve"> materials. Conducting polymers are promising to be the next generation of </w:t>
      </w:r>
      <w:r w:rsidRPr="00215FE0">
        <w:t>thermoelectric</w:t>
      </w:r>
      <w:r>
        <w:t xml:space="preserve"> materials. They have intrinsically low </w:t>
      </w:r>
      <w:r>
        <w:rPr>
          <w:rFonts w:ascii="Calibri" w:hAnsi="Calibri" w:cs="Calibri"/>
        </w:rPr>
        <w:t>κ</w:t>
      </w:r>
      <w:r>
        <w:t xml:space="preserve"> and potentially high </w:t>
      </w:r>
      <w:r>
        <w:rPr>
          <w:rFonts w:ascii="Calibri" w:hAnsi="Calibri" w:cs="Calibri"/>
        </w:rPr>
        <w:t>σ</w:t>
      </w:r>
      <w:r>
        <w:t>, cost-effectiveness, large area processing and facile synthesis. Conductive polyme</w:t>
      </w:r>
      <w:r>
        <w:t xml:space="preserve">rs </w:t>
      </w:r>
      <w:r>
        <w:t xml:space="preserve">have been widely investigated as </w:t>
      </w:r>
      <w:r w:rsidRPr="00215FE0">
        <w:t>thermoelectric</w:t>
      </w:r>
      <w:r>
        <w:t xml:space="preserve"> materials</w:t>
      </w:r>
      <w:r>
        <w:t xml:space="preserve">. </w:t>
      </w:r>
      <w:r>
        <w:t xml:space="preserve">Among the polymer TE materials studied, poly(3,4-ethylenedioxythiophene):poly(styrenesulfonate) (PEDOT:PSS), is particularly of interest. It is thermally stable, water processable and can be highly electrically conductive upon post-treatment. It was reported that the </w:t>
      </w:r>
      <w:r>
        <w:rPr>
          <w:rFonts w:ascii="Calibri" w:hAnsi="Calibri" w:cs="Calibri"/>
        </w:rPr>
        <w:t>σ</w:t>
      </w:r>
      <w:r>
        <w:t xml:space="preserve"> of PEDOT:PSS films can be greatly enhanced by vari</w:t>
      </w:r>
      <w:r>
        <w:t>ous post-treatment methods</w:t>
      </w:r>
      <w:r>
        <w:t xml:space="preserve"> to increase the charge carrier concentration. However, this high doping level results in a small S value because o</w:t>
      </w:r>
      <w:r>
        <w:t xml:space="preserve">f the extra charge carrier </w:t>
      </w:r>
      <w:r>
        <w:t xml:space="preserve">and hence appropriate methods that enhance the S value are required. Moreover, earlier studies have already shown that the </w:t>
      </w:r>
      <w:r w:rsidR="007A7807">
        <w:t>power factor</w:t>
      </w:r>
      <w:r>
        <w:t xml:space="preserve"> could be improved by regulating the redox level through electrochemical or chemical methods optimizing </w:t>
      </w:r>
      <w:r w:rsidR="007C1762">
        <w:t>thermoelectric</w:t>
      </w:r>
      <w:r>
        <w:t xml:space="preserve"> properties through the control of charge carrier concentration. </w:t>
      </w:r>
      <w:r w:rsidR="007A7807">
        <w:t>On the other hand</w:t>
      </w:r>
      <w:r>
        <w:t xml:space="preserve">, chemicals used in the enhancement of </w:t>
      </w:r>
      <w:r w:rsidR="007A7807" w:rsidRPr="007A7807">
        <w:t>thermoelectric</w:t>
      </w:r>
      <w:r>
        <w:t xml:space="preserve"> properties are </w:t>
      </w:r>
      <w:r w:rsidR="00A73F19">
        <w:t>mostly</w:t>
      </w:r>
      <w:r w:rsidR="007A7807">
        <w:t xml:space="preserve"> toxic,</w:t>
      </w:r>
      <w:r>
        <w:t xml:space="preserve"> and its large-scale use should be avoided because of safety and environmental issues. </w:t>
      </w:r>
      <w:r w:rsidR="007A7807">
        <w:t>This work will report several chemicals</w:t>
      </w:r>
      <w:r w:rsidR="007A7807">
        <w:t xml:space="preserve"> to tune the oxidation level of PEDOT:PSS films and enhance their </w:t>
      </w:r>
      <w:r w:rsidR="007A7807">
        <w:t xml:space="preserve">electrical conductivity, </w:t>
      </w:r>
      <w:r w:rsidR="007A7807">
        <w:t>Seebeck coefficient and environmental stability.</w:t>
      </w:r>
    </w:p>
    <w:p w:rsidR="007D3A55" w:rsidRPr="007D3A55" w:rsidRDefault="007A7807" w:rsidP="007C1762">
      <w:pPr>
        <w:pStyle w:val="Heading3"/>
        <w:spacing w:before="74"/>
        <w:ind w:left="0"/>
        <w:jc w:val="center"/>
        <w:rPr>
          <w:color w:val="BF5A14"/>
        </w:rPr>
      </w:pPr>
      <w:r w:rsidRPr="007C1762">
        <w:rPr>
          <w:noProof/>
          <w:color w:val="BF5A14"/>
          <w:lang w:eastAsia="zh-CN"/>
        </w:rPr>
        <w:drawing>
          <wp:inline distT="0" distB="0" distL="0" distR="0" wp14:anchorId="34E317E5">
            <wp:extent cx="3067050" cy="1345909"/>
            <wp:effectExtent l="133350" t="133350" r="133350" b="140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3012" cy="1352914"/>
                    </a:xfrm>
                    <a:prstGeom prst="rect">
                      <a:avLst/>
                    </a:prstGeom>
                    <a:noFill/>
                    <a:effectLst>
                      <a:glow rad="127000">
                        <a:schemeClr val="bg2"/>
                      </a:glow>
                      <a:innerShdw blurRad="63500" dist="50800" dir="13500000">
                        <a:prstClr val="black">
                          <a:alpha val="50000"/>
                        </a:prstClr>
                      </a:innerShdw>
                    </a:effectLst>
                  </pic:spPr>
                </pic:pic>
              </a:graphicData>
            </a:graphic>
          </wp:inline>
        </w:drawing>
      </w:r>
      <w:bookmarkStart w:id="0" w:name="_GoBack"/>
      <w:bookmarkEnd w:id="0"/>
    </w:p>
    <w:p w:rsidR="005973B9" w:rsidRDefault="00F53031" w:rsidP="00C17F5F">
      <w:pPr>
        <w:pStyle w:val="ListParagraph"/>
        <w:numPr>
          <w:ilvl w:val="0"/>
          <w:numId w:val="3"/>
        </w:numPr>
        <w:tabs>
          <w:tab w:val="left" w:pos="384"/>
        </w:tabs>
        <w:spacing w:before="103" w:line="216" w:lineRule="exact"/>
        <w:ind w:right="138"/>
        <w:rPr>
          <w:sz w:val="18"/>
        </w:rPr>
      </w:pPr>
      <w:r>
        <w:rPr>
          <w:sz w:val="18"/>
        </w:rPr>
        <w:t xml:space="preserve">Tam TLD, Ng CK, Lim </w:t>
      </w:r>
      <w:r w:rsidR="00C17F5F" w:rsidRPr="00C17F5F">
        <w:rPr>
          <w:sz w:val="18"/>
        </w:rPr>
        <w:t>SL</w:t>
      </w:r>
      <w:r>
        <w:rPr>
          <w:sz w:val="18"/>
        </w:rPr>
        <w:t>, Yildirim</w:t>
      </w:r>
      <w:r w:rsidR="00C17F5F" w:rsidRPr="00C17F5F">
        <w:rPr>
          <w:sz w:val="18"/>
        </w:rPr>
        <w:t xml:space="preserve"> E</w:t>
      </w:r>
      <w:r>
        <w:rPr>
          <w:sz w:val="18"/>
        </w:rPr>
        <w:t>, Ko</w:t>
      </w:r>
      <w:r w:rsidR="00C17F5F" w:rsidRPr="00C17F5F">
        <w:rPr>
          <w:sz w:val="18"/>
        </w:rPr>
        <w:t xml:space="preserve"> JU</w:t>
      </w:r>
      <w:r>
        <w:rPr>
          <w:sz w:val="18"/>
        </w:rPr>
        <w:t>, Leong</w:t>
      </w:r>
      <w:r w:rsidR="00C17F5F" w:rsidRPr="00C17F5F">
        <w:rPr>
          <w:sz w:val="18"/>
        </w:rPr>
        <w:t xml:space="preserve"> WL</w:t>
      </w:r>
      <w:r>
        <w:rPr>
          <w:sz w:val="18"/>
        </w:rPr>
        <w:t>, Yang</w:t>
      </w:r>
      <w:r w:rsidR="00C17F5F" w:rsidRPr="00C17F5F">
        <w:rPr>
          <w:sz w:val="18"/>
        </w:rPr>
        <w:t xml:space="preserve"> SW</w:t>
      </w:r>
      <w:r>
        <w:rPr>
          <w:sz w:val="18"/>
        </w:rPr>
        <w:t>, Xu, JW</w:t>
      </w:r>
      <w:r w:rsidR="00C17F5F" w:rsidRPr="00C17F5F">
        <w:rPr>
          <w:sz w:val="18"/>
        </w:rPr>
        <w:t xml:space="preserve"> </w:t>
      </w:r>
      <w:r w:rsidR="00C17F5F">
        <w:rPr>
          <w:sz w:val="18"/>
        </w:rPr>
        <w:t>(</w:t>
      </w:r>
      <w:r w:rsidR="00C17F5F" w:rsidRPr="00C17F5F">
        <w:rPr>
          <w:sz w:val="18"/>
        </w:rPr>
        <w:t>2019</w:t>
      </w:r>
      <w:r w:rsidR="00C17F5F">
        <w:rPr>
          <w:sz w:val="18"/>
        </w:rPr>
        <w:t>)</w:t>
      </w:r>
      <w:r w:rsidR="00C17F5F" w:rsidRPr="00C17F5F">
        <w:rPr>
          <w:sz w:val="18"/>
        </w:rPr>
        <w:t xml:space="preserve"> Pro-Quinoidal Conjugated Polymer as an Effective Strategy for the Enhancement of Electrical Conductivity and Thermoelectric Properties</w:t>
      </w:r>
      <w:r w:rsidR="00C17F5F">
        <w:rPr>
          <w:sz w:val="18"/>
        </w:rPr>
        <w:t>.</w:t>
      </w:r>
      <w:r w:rsidR="00C17F5F" w:rsidRPr="00C17F5F">
        <w:t xml:space="preserve"> </w:t>
      </w:r>
      <w:r w:rsidR="00C17F5F" w:rsidRPr="00C17F5F">
        <w:rPr>
          <w:sz w:val="18"/>
        </w:rPr>
        <w:t xml:space="preserve">Chem. Mater. </w:t>
      </w:r>
      <w:r w:rsidR="00C17F5F">
        <w:rPr>
          <w:sz w:val="18"/>
        </w:rPr>
        <w:t>31:8</w:t>
      </w:r>
      <w:r w:rsidR="00C17F5F" w:rsidRPr="00C17F5F">
        <w:rPr>
          <w:sz w:val="18"/>
        </w:rPr>
        <w:t>543-8550</w:t>
      </w:r>
    </w:p>
    <w:p w:rsidR="005973B9" w:rsidRDefault="00F53031" w:rsidP="00C17F5F">
      <w:pPr>
        <w:pStyle w:val="ListParagraph"/>
        <w:numPr>
          <w:ilvl w:val="0"/>
          <w:numId w:val="3"/>
        </w:numPr>
        <w:tabs>
          <w:tab w:val="left" w:pos="384"/>
        </w:tabs>
        <w:spacing w:line="216" w:lineRule="exact"/>
        <w:ind w:right="137"/>
        <w:rPr>
          <w:sz w:val="18"/>
        </w:rPr>
      </w:pPr>
      <w:r>
        <w:rPr>
          <w:sz w:val="18"/>
        </w:rPr>
        <w:t>Kyaw AKK, Wong</w:t>
      </w:r>
      <w:r w:rsidR="00C17F5F" w:rsidRPr="00C17F5F">
        <w:rPr>
          <w:sz w:val="18"/>
        </w:rPr>
        <w:t xml:space="preserve"> GDH</w:t>
      </w:r>
      <w:r>
        <w:rPr>
          <w:sz w:val="18"/>
        </w:rPr>
        <w:t>, Yemata</w:t>
      </w:r>
      <w:r w:rsidR="00C17F5F" w:rsidRPr="00C17F5F">
        <w:rPr>
          <w:sz w:val="18"/>
        </w:rPr>
        <w:t xml:space="preserve"> TA</w:t>
      </w:r>
      <w:r>
        <w:rPr>
          <w:sz w:val="18"/>
        </w:rPr>
        <w:t>,</w:t>
      </w:r>
      <w:r w:rsidR="00C17F5F" w:rsidRPr="00C17F5F">
        <w:rPr>
          <w:sz w:val="18"/>
        </w:rPr>
        <w:t xml:space="preserve"> X</w:t>
      </w:r>
      <w:r>
        <w:rPr>
          <w:sz w:val="18"/>
        </w:rPr>
        <w:t>u JW</w:t>
      </w:r>
      <w:r w:rsidR="00C17F5F">
        <w:rPr>
          <w:sz w:val="18"/>
        </w:rPr>
        <w:t xml:space="preserve"> (</w:t>
      </w:r>
      <w:r w:rsidR="00C17F5F">
        <w:rPr>
          <w:sz w:val="18"/>
        </w:rPr>
        <w:t>2019</w:t>
      </w:r>
      <w:r w:rsidR="00C17F5F">
        <w:rPr>
          <w:sz w:val="18"/>
        </w:rPr>
        <w:t xml:space="preserve">) </w:t>
      </w:r>
      <w:r w:rsidR="00C17F5F" w:rsidRPr="00C17F5F">
        <w:rPr>
          <w:sz w:val="18"/>
        </w:rPr>
        <w:t>Effective ionic Seebeck component suppression in mixed ion-electron conductor via chemical treatment</w:t>
      </w:r>
      <w:r w:rsidR="00C17F5F">
        <w:rPr>
          <w:sz w:val="18"/>
        </w:rPr>
        <w:t>.</w:t>
      </w:r>
      <w:r w:rsidR="00C17F5F">
        <w:rPr>
          <w:sz w:val="18"/>
        </w:rPr>
        <w:t xml:space="preserve"> Org. Electron.</w:t>
      </w:r>
      <w:r w:rsidR="00C17F5F" w:rsidRPr="00C17F5F">
        <w:rPr>
          <w:sz w:val="18"/>
        </w:rPr>
        <w:t xml:space="preserve"> </w:t>
      </w:r>
      <w:r w:rsidR="00C17F5F">
        <w:rPr>
          <w:sz w:val="18"/>
        </w:rPr>
        <w:t>69:</w:t>
      </w:r>
      <w:r w:rsidR="00C17F5F" w:rsidRPr="00C17F5F">
        <w:rPr>
          <w:sz w:val="18"/>
        </w:rPr>
        <w:t>7-12</w:t>
      </w:r>
    </w:p>
    <w:p w:rsidR="005973B9" w:rsidRDefault="00F53031" w:rsidP="00C17F5F">
      <w:pPr>
        <w:pStyle w:val="ListParagraph"/>
        <w:numPr>
          <w:ilvl w:val="0"/>
          <w:numId w:val="3"/>
        </w:numPr>
        <w:tabs>
          <w:tab w:val="left" w:pos="384"/>
        </w:tabs>
        <w:spacing w:line="216" w:lineRule="exact"/>
        <w:ind w:right="138"/>
        <w:rPr>
          <w:sz w:val="18"/>
        </w:rPr>
      </w:pPr>
      <w:r>
        <w:rPr>
          <w:sz w:val="18"/>
        </w:rPr>
        <w:t>Tam TLD, Xu JW</w:t>
      </w:r>
      <w:r w:rsidR="00C17F5F" w:rsidRPr="00C17F5F">
        <w:rPr>
          <w:sz w:val="18"/>
        </w:rPr>
        <w:t xml:space="preserve"> </w:t>
      </w:r>
      <w:r w:rsidR="00C17F5F">
        <w:rPr>
          <w:sz w:val="18"/>
        </w:rPr>
        <w:t>(</w:t>
      </w:r>
      <w:r w:rsidR="00C17F5F" w:rsidRPr="00C17F5F">
        <w:rPr>
          <w:sz w:val="18"/>
        </w:rPr>
        <w:t>2019</w:t>
      </w:r>
      <w:r w:rsidR="00C17F5F">
        <w:rPr>
          <w:sz w:val="18"/>
        </w:rPr>
        <w:t>)</w:t>
      </w:r>
      <w:r w:rsidR="00C17F5F" w:rsidRPr="00C17F5F">
        <w:rPr>
          <w:sz w:val="18"/>
        </w:rPr>
        <w:t xml:space="preserve"> The role of fluoride in anion–π interaction with naphthalene diimide</w:t>
      </w:r>
      <w:r w:rsidR="00C17F5F">
        <w:rPr>
          <w:sz w:val="18"/>
        </w:rPr>
        <w:t>.</w:t>
      </w:r>
      <w:r w:rsidR="00C17F5F" w:rsidRPr="00C17F5F">
        <w:rPr>
          <w:sz w:val="18"/>
        </w:rPr>
        <w:t xml:space="preserve"> </w:t>
      </w:r>
      <w:r w:rsidR="00C17F5F">
        <w:rPr>
          <w:sz w:val="18"/>
        </w:rPr>
        <w:t>Chem. Commun.</w:t>
      </w:r>
      <w:r w:rsidR="00C17F5F" w:rsidRPr="00C17F5F">
        <w:rPr>
          <w:sz w:val="18"/>
        </w:rPr>
        <w:t xml:space="preserve"> </w:t>
      </w:r>
      <w:r w:rsidR="00C17F5F">
        <w:rPr>
          <w:sz w:val="18"/>
        </w:rPr>
        <w:t>55:</w:t>
      </w:r>
      <w:r w:rsidR="00C17F5F" w:rsidRPr="00C17F5F">
        <w:rPr>
          <w:sz w:val="18"/>
        </w:rPr>
        <w:t xml:space="preserve">6225-6228. </w:t>
      </w:r>
    </w:p>
    <w:p w:rsidR="005973B9" w:rsidRDefault="00F53031" w:rsidP="00F53031">
      <w:pPr>
        <w:pStyle w:val="ListParagraph"/>
        <w:numPr>
          <w:ilvl w:val="0"/>
          <w:numId w:val="3"/>
        </w:numPr>
        <w:tabs>
          <w:tab w:val="left" w:pos="384"/>
        </w:tabs>
        <w:spacing w:before="92" w:line="218" w:lineRule="exact"/>
        <w:rPr>
          <w:sz w:val="18"/>
        </w:rPr>
      </w:pPr>
      <w:r w:rsidRPr="00F53031">
        <w:rPr>
          <w:sz w:val="18"/>
        </w:rPr>
        <w:t xml:space="preserve">Yemata </w:t>
      </w:r>
      <w:r w:rsidRPr="00F53031">
        <w:rPr>
          <w:sz w:val="18"/>
        </w:rPr>
        <w:t>TA</w:t>
      </w:r>
      <w:r>
        <w:rPr>
          <w:sz w:val="18"/>
        </w:rPr>
        <w:t xml:space="preserve">, </w:t>
      </w:r>
      <w:r w:rsidRPr="00F53031">
        <w:rPr>
          <w:sz w:val="18"/>
        </w:rPr>
        <w:t>Zheng</w:t>
      </w:r>
      <w:r>
        <w:rPr>
          <w:sz w:val="18"/>
        </w:rPr>
        <w:t xml:space="preserve"> Y</w:t>
      </w:r>
      <w:r w:rsidRPr="00F53031">
        <w:rPr>
          <w:sz w:val="18"/>
        </w:rPr>
        <w:t xml:space="preserve">, Kyaw </w:t>
      </w:r>
      <w:r w:rsidRPr="00F53031">
        <w:rPr>
          <w:sz w:val="18"/>
        </w:rPr>
        <w:t>AKK</w:t>
      </w:r>
      <w:r w:rsidRPr="00F53031">
        <w:rPr>
          <w:sz w:val="18"/>
        </w:rPr>
        <w:t xml:space="preserve">, Wang </w:t>
      </w:r>
      <w:r w:rsidRPr="00F53031">
        <w:rPr>
          <w:sz w:val="18"/>
        </w:rPr>
        <w:t>X</w:t>
      </w:r>
      <w:r w:rsidRPr="00F53031">
        <w:rPr>
          <w:sz w:val="18"/>
        </w:rPr>
        <w:t xml:space="preserve">, Song </w:t>
      </w:r>
      <w:r w:rsidRPr="00F53031">
        <w:rPr>
          <w:sz w:val="18"/>
        </w:rPr>
        <w:t>J</w:t>
      </w:r>
      <w:r w:rsidRPr="00F53031">
        <w:rPr>
          <w:sz w:val="18"/>
        </w:rPr>
        <w:t xml:space="preserve">, Chin </w:t>
      </w:r>
      <w:r w:rsidRPr="00F53031">
        <w:rPr>
          <w:sz w:val="18"/>
        </w:rPr>
        <w:t>WS</w:t>
      </w:r>
      <w:r w:rsidRPr="00F53031">
        <w:rPr>
          <w:sz w:val="18"/>
        </w:rPr>
        <w:t xml:space="preserve">, Xu </w:t>
      </w:r>
      <w:r w:rsidRPr="00F53031">
        <w:rPr>
          <w:sz w:val="18"/>
        </w:rPr>
        <w:t>J</w:t>
      </w:r>
      <w:r>
        <w:rPr>
          <w:sz w:val="18"/>
        </w:rPr>
        <w:t>W*</w:t>
      </w:r>
      <w:r w:rsidRPr="00F53031">
        <w:rPr>
          <w:sz w:val="18"/>
        </w:rPr>
        <w:t xml:space="preserve"> </w:t>
      </w:r>
      <w:r>
        <w:rPr>
          <w:sz w:val="18"/>
        </w:rPr>
        <w:t>(2019</w:t>
      </w:r>
      <w:r w:rsidR="005973B9">
        <w:rPr>
          <w:sz w:val="18"/>
        </w:rPr>
        <w:t xml:space="preserve">) </w:t>
      </w:r>
      <w:r w:rsidRPr="00F53031">
        <w:rPr>
          <w:sz w:val="18"/>
        </w:rPr>
        <w:t>Improved thermoelectric properties and environmental stability of conducting PEDOT: PSS films post-treated with imidazolium ionic liquids</w:t>
      </w:r>
      <w:r w:rsidRPr="00F53031">
        <w:t xml:space="preserve"> </w:t>
      </w:r>
      <w:r w:rsidRPr="00F53031">
        <w:rPr>
          <w:sz w:val="18"/>
        </w:rPr>
        <w:t>Front</w:t>
      </w:r>
      <w:r>
        <w:rPr>
          <w:sz w:val="18"/>
        </w:rPr>
        <w:t>.</w:t>
      </w:r>
      <w:r w:rsidRPr="00F53031">
        <w:rPr>
          <w:sz w:val="18"/>
        </w:rPr>
        <w:t xml:space="preserve"> Chem</w:t>
      </w:r>
      <w:r>
        <w:rPr>
          <w:sz w:val="18"/>
        </w:rPr>
        <w:t>. 7:</w:t>
      </w:r>
      <w:r w:rsidRPr="00F53031">
        <w:rPr>
          <w:sz w:val="18"/>
        </w:rPr>
        <w:t>870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F53031" w:rsidRPr="00F53031">
        <w:rPr>
          <w:rFonts w:ascii="Calibri" w:hAnsi="Calibri"/>
        </w:rPr>
        <w:t>Zheng</w:t>
      </w:r>
      <w:r w:rsidR="00F53031">
        <w:rPr>
          <w:rFonts w:ascii="Calibri" w:hAnsi="Calibri"/>
        </w:rPr>
        <w:t xml:space="preserve"> Y, </w:t>
      </w:r>
      <w:r w:rsidR="00F53031" w:rsidRPr="00F53031">
        <w:rPr>
          <w:rFonts w:ascii="Calibri" w:hAnsi="Calibri"/>
        </w:rPr>
        <w:t>Zeng</w:t>
      </w:r>
      <w:r w:rsidR="00F53031">
        <w:rPr>
          <w:rFonts w:ascii="Calibri" w:hAnsi="Calibri"/>
        </w:rPr>
        <w:t xml:space="preserve"> H, </w:t>
      </w:r>
      <w:r w:rsidR="00F53031" w:rsidRPr="00F53031">
        <w:rPr>
          <w:rFonts w:ascii="Calibri" w:hAnsi="Calibri"/>
        </w:rPr>
        <w:t>Qiang</w:t>
      </w:r>
      <w:r w:rsidR="00F53031">
        <w:rPr>
          <w:rFonts w:ascii="Calibri" w:hAnsi="Calibri"/>
        </w:rPr>
        <w:t xml:space="preserve"> Z, </w:t>
      </w:r>
      <w:r w:rsidR="00F53031" w:rsidRPr="00F53031">
        <w:rPr>
          <w:rFonts w:ascii="Calibri" w:hAnsi="Calibri"/>
        </w:rPr>
        <w:t>Xu</w:t>
      </w:r>
      <w:r w:rsidR="00F53031">
        <w:rPr>
          <w:rFonts w:ascii="Calibri" w:hAnsi="Calibri"/>
        </w:rPr>
        <w:t xml:space="preserve"> JW</w:t>
      </w:r>
      <w:r w:rsidR="00F53031" w:rsidRPr="00F53031">
        <w:rPr>
          <w:rFonts w:ascii="Calibri" w:hAnsi="Calibri"/>
        </w:rPr>
        <w:t xml:space="preserve"> </w:t>
      </w:r>
      <w:r>
        <w:rPr>
          <w:rFonts w:ascii="Calibri" w:hAnsi="Calibri"/>
        </w:rPr>
        <w:t>(20</w:t>
      </w:r>
      <w:r w:rsidR="00F53031">
        <w:rPr>
          <w:rFonts w:ascii="Calibri" w:hAnsi="Calibri"/>
        </w:rPr>
        <w:t>1</w:t>
      </w:r>
      <w:r>
        <w:rPr>
          <w:rFonts w:ascii="Calibri" w:hAnsi="Calibri"/>
        </w:rPr>
        <w:t xml:space="preserve">8) </w:t>
      </w:r>
      <w:r w:rsidR="00F53031" w:rsidRPr="00F53031">
        <w:rPr>
          <w:rFonts w:ascii="Calibri" w:hAnsi="Calibri"/>
        </w:rPr>
        <w:t>Recent advances of conducting poly (3, 4-ethylenedioxythiophene) polystyrene sulfonate hybrids for thermoelectric applications</w:t>
      </w:r>
      <w:r w:rsidR="00F53031">
        <w:rPr>
          <w:rFonts w:ascii="Calibri" w:hAnsi="Calibri"/>
        </w:rPr>
        <w:t>. J.</w:t>
      </w:r>
      <w:r w:rsidR="00F53031" w:rsidRPr="00F53031">
        <w:rPr>
          <w:rFonts w:ascii="Calibri" w:hAnsi="Calibri"/>
        </w:rPr>
        <w:t xml:space="preserve"> Mater</w:t>
      </w:r>
      <w:r w:rsidR="00F53031">
        <w:rPr>
          <w:rFonts w:ascii="Calibri" w:hAnsi="Calibri"/>
        </w:rPr>
        <w:t>.</w:t>
      </w:r>
      <w:r w:rsidR="00F53031" w:rsidRPr="00F53031">
        <w:rPr>
          <w:rFonts w:ascii="Calibri" w:hAnsi="Calibri"/>
        </w:rPr>
        <w:t xml:space="preserve"> Chem</w:t>
      </w:r>
      <w:r w:rsidR="00F53031">
        <w:rPr>
          <w:rFonts w:ascii="Calibri" w:hAnsi="Calibri"/>
        </w:rPr>
        <w:t>.</w:t>
      </w:r>
      <w:r w:rsidR="00F53031" w:rsidRPr="00F53031">
        <w:rPr>
          <w:rFonts w:ascii="Calibri" w:hAnsi="Calibri"/>
        </w:rPr>
        <w:t xml:space="preserve"> C</w:t>
      </w:r>
      <w:r w:rsidR="00F53031">
        <w:rPr>
          <w:rFonts w:ascii="Calibri" w:hAnsi="Calibri"/>
        </w:rPr>
        <w:t xml:space="preserve"> 6</w:t>
      </w:r>
      <w:r>
        <w:rPr>
          <w:rFonts w:ascii="Calibri" w:hAnsi="Calibri"/>
        </w:rPr>
        <w:t>:</w:t>
      </w:r>
      <w:r w:rsidR="00F53031" w:rsidRPr="00F53031">
        <w:t xml:space="preserve"> </w:t>
      </w:r>
      <w:r w:rsidR="00F53031" w:rsidRPr="00F53031">
        <w:rPr>
          <w:rFonts w:ascii="Calibri" w:hAnsi="Calibri"/>
        </w:rPr>
        <w:t>8858-8873</w:t>
      </w:r>
      <w:r>
        <w:rPr>
          <w:rFonts w:ascii="Calibri" w:hAnsi="Calibri"/>
        </w:rPr>
        <w:t>.</w:t>
      </w:r>
    </w:p>
    <w:p w:rsidR="00AE3E37" w:rsidRPr="008756E6" w:rsidRDefault="00AE3E37" w:rsidP="008756E6">
      <w:pPr>
        <w:tabs>
          <w:tab w:val="left" w:pos="384"/>
        </w:tabs>
        <w:ind w:right="117"/>
      </w:pPr>
    </w:p>
    <w:p w:rsidR="00AE3E37" w:rsidRDefault="008756E6" w:rsidP="00C17F5F">
      <w:pPr>
        <w:spacing w:line="200" w:lineRule="exact"/>
        <w:jc w:val="both"/>
        <w:rPr>
          <w:rFonts w:ascii="Calibri"/>
          <w:sz w:val="20"/>
        </w:r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5B8C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17F5F">
        <w:rPr>
          <w:noProof/>
          <w:lang w:eastAsia="zh-CN"/>
        </w:rPr>
        <w:drawing>
          <wp:inline distT="0" distB="0" distL="0" distR="0" wp14:anchorId="0E143DDC">
            <wp:extent cx="505460" cy="61253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9343" cy="629353"/>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C17F5F">
      <w:pPr>
        <w:spacing w:before="41" w:line="154" w:lineRule="exact"/>
        <w:ind w:left="213" w:right="231"/>
        <w:jc w:val="both"/>
        <w:rPr>
          <w:rFonts w:ascii="Arial"/>
          <w:sz w:val="14"/>
        </w:rPr>
      </w:pPr>
      <w:r w:rsidRPr="00C17F5F">
        <w:rPr>
          <w:rFonts w:ascii="Arial"/>
          <w:sz w:val="14"/>
        </w:rPr>
        <w:t>Dr. Xu received his PhD from the National University of Singapore (NUS). His current research areas are mainly focused on polyhedral oligomeric silsesquioxanes (POSS)-based functional hybrid materials, electrochromic conjugated polymers, aggregation-induced emission-based materials and hybrid thermoelectric materials. He has published more than 160 papers and filed more than 30 patents, some of which has been licensed to companies. He contributed 10 chapters to polymer materials related books and also compiled a book on smart electrochromic materials and device. Now, he is a Principal Scientist in IMRE a</w:t>
      </w:r>
      <w:r w:rsidR="00A73F19">
        <w:rPr>
          <w:rFonts w:ascii="Arial"/>
          <w:sz w:val="14"/>
        </w:rPr>
        <w:t>nd a Strategic Research Council</w:t>
      </w:r>
      <w:r w:rsidRPr="00C17F5F">
        <w:rPr>
          <w:rFonts w:ascii="Arial"/>
          <w:sz w:val="14"/>
        </w:rPr>
        <w:t>or, A*STAR, Republic of Singapore. He also holds the appointments of Adj</w:t>
      </w:r>
      <w:r>
        <w:rPr>
          <w:rFonts w:ascii="Arial"/>
          <w:sz w:val="14"/>
        </w:rPr>
        <w:t>unct Associate Professor in NUS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9" w:history="1">
        <w:r w:rsidR="007C1762" w:rsidRPr="00CF42C9">
          <w:rPr>
            <w:rStyle w:val="Hyperlink"/>
            <w:rFonts w:ascii="Arial"/>
            <w:sz w:val="14"/>
          </w:rPr>
          <w:t>jw-xu@imre.a-star.edu.sg</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251656704"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9FCD5"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C17F5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712" w:rsidRDefault="00343712">
      <w:r>
        <w:separator/>
      </w:r>
    </w:p>
  </w:endnote>
  <w:endnote w:type="continuationSeparator" w:id="0">
    <w:p w:rsidR="00343712" w:rsidRDefault="00343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712" w:rsidRDefault="00343712">
      <w:r>
        <w:separator/>
      </w:r>
    </w:p>
  </w:footnote>
  <w:footnote w:type="continuationSeparator" w:id="0">
    <w:p w:rsidR="00343712" w:rsidRDefault="00343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15FE0"/>
    <w:rsid w:val="0023086C"/>
    <w:rsid w:val="00292ED9"/>
    <w:rsid w:val="00343712"/>
    <w:rsid w:val="003937EE"/>
    <w:rsid w:val="00404E5B"/>
    <w:rsid w:val="00414F7B"/>
    <w:rsid w:val="004355DC"/>
    <w:rsid w:val="004749B4"/>
    <w:rsid w:val="00494130"/>
    <w:rsid w:val="004C67BD"/>
    <w:rsid w:val="004F3523"/>
    <w:rsid w:val="005973B9"/>
    <w:rsid w:val="005B3A56"/>
    <w:rsid w:val="006060CE"/>
    <w:rsid w:val="0063497F"/>
    <w:rsid w:val="00770E30"/>
    <w:rsid w:val="007842AF"/>
    <w:rsid w:val="007A7807"/>
    <w:rsid w:val="007C1762"/>
    <w:rsid w:val="007D3A55"/>
    <w:rsid w:val="00873DF0"/>
    <w:rsid w:val="008756E6"/>
    <w:rsid w:val="00983618"/>
    <w:rsid w:val="009B2D44"/>
    <w:rsid w:val="00A07E82"/>
    <w:rsid w:val="00A527E3"/>
    <w:rsid w:val="00A73F19"/>
    <w:rsid w:val="00A9710C"/>
    <w:rsid w:val="00AC2761"/>
    <w:rsid w:val="00AE3E37"/>
    <w:rsid w:val="00B21A57"/>
    <w:rsid w:val="00C17F5F"/>
    <w:rsid w:val="00C33602"/>
    <w:rsid w:val="00C86B64"/>
    <w:rsid w:val="00CD6F55"/>
    <w:rsid w:val="00DE3104"/>
    <w:rsid w:val="00E92544"/>
    <w:rsid w:val="00F07D91"/>
    <w:rsid w:val="00F2380B"/>
    <w:rsid w:val="00F5303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CAA13"/>
  <w15:docId w15:val="{4BFE28E2-EEEE-4119-B495-43F9E396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w-xu@imre.a-star.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XU Jian Wei</cp:lastModifiedBy>
  <cp:revision>4</cp:revision>
  <dcterms:created xsi:type="dcterms:W3CDTF">2019-12-26T16:42:00Z</dcterms:created>
  <dcterms:modified xsi:type="dcterms:W3CDTF">2019-12-26T16:47:00Z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