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43E" w:rsidRDefault="009C443E" w:rsidP="009C443E">
      <w:pPr>
        <w:pStyle w:val="Corpodeltesto"/>
        <w:ind w:left="102" w:right="57"/>
        <w:rPr>
          <w:rFonts w:ascii="Minion Pro" w:eastAsia="Minion Pro" w:hAnsi="Minion Pro" w:cs="Minion Pro"/>
          <w:b/>
          <w:bCs/>
          <w:color w:val="337AB7"/>
          <w:sz w:val="36"/>
          <w:szCs w:val="36"/>
        </w:rPr>
      </w:pPr>
      <w:r w:rsidRPr="00301A9E">
        <w:rPr>
          <w:rFonts w:ascii="Minion Pro" w:eastAsia="Minion Pro" w:hAnsi="Minion Pro" w:cs="Minion Pro"/>
          <w:b/>
          <w:bCs/>
          <w:color w:val="337AB7"/>
          <w:sz w:val="36"/>
          <w:szCs w:val="36"/>
        </w:rPr>
        <w:t xml:space="preserve">Observation of atypical lymphocytes in post-COVID subjects in the study of the nasal mucosa </w:t>
      </w:r>
    </w:p>
    <w:p w:rsidR="009C443E" w:rsidRDefault="009C443E" w:rsidP="009C443E">
      <w:pPr>
        <w:pStyle w:val="Corpodeltesto"/>
        <w:spacing w:before="73" w:line="198" w:lineRule="exact"/>
        <w:ind w:left="100" w:right="58"/>
        <w:rPr>
          <w:rFonts w:ascii="Minion Pro" w:eastAsia="Minion Pro" w:hAnsi="Minion Pro" w:cs="Minion Pro"/>
          <w:b/>
          <w:bCs/>
          <w:color w:val="337AB7"/>
          <w:sz w:val="36"/>
          <w:szCs w:val="36"/>
        </w:rPr>
      </w:pPr>
    </w:p>
    <w:p w:rsidR="009C443E" w:rsidRPr="00EC3ED2" w:rsidRDefault="009C443E" w:rsidP="009C443E">
      <w:pPr>
        <w:pStyle w:val="Corpodeltesto"/>
        <w:spacing w:before="73" w:line="198" w:lineRule="exact"/>
        <w:ind w:left="100" w:right="58"/>
        <w:rPr>
          <w:rFonts w:ascii="Arial"/>
          <w:lang w:val="it-IT"/>
        </w:rPr>
      </w:pPr>
      <w:r w:rsidRPr="00EC3ED2">
        <w:rPr>
          <w:rFonts w:ascii="Arial"/>
          <w:lang w:val="it-IT"/>
        </w:rPr>
        <w:t xml:space="preserve">Arturo </w:t>
      </w:r>
      <w:proofErr w:type="spellStart"/>
      <w:r w:rsidRPr="00EC3ED2">
        <w:rPr>
          <w:rFonts w:ascii="Arial"/>
          <w:lang w:val="it-IT"/>
        </w:rPr>
        <w:t>Armone</w:t>
      </w:r>
      <w:proofErr w:type="spellEnd"/>
      <w:r w:rsidRPr="00EC3ED2">
        <w:rPr>
          <w:rFonts w:ascii="Arial"/>
          <w:lang w:val="it-IT"/>
        </w:rPr>
        <w:t xml:space="preserve"> Caruso, MD, </w:t>
      </w:r>
      <w:proofErr w:type="spellStart"/>
      <w:r w:rsidRPr="00EC3ED2">
        <w:rPr>
          <w:rFonts w:ascii="Arial"/>
          <w:lang w:val="it-IT"/>
        </w:rPr>
        <w:t>Ph</w:t>
      </w:r>
      <w:proofErr w:type="spellEnd"/>
      <w:r w:rsidR="006513D5">
        <w:rPr>
          <w:rFonts w:ascii="Arial"/>
          <w:lang w:val="it-IT"/>
        </w:rPr>
        <w:t xml:space="preserve"> </w:t>
      </w:r>
      <w:r w:rsidRPr="00EC3ED2">
        <w:rPr>
          <w:rFonts w:ascii="Arial"/>
          <w:lang w:val="it-IT"/>
        </w:rPr>
        <w:t>D, AIAS di Afragola</w:t>
      </w:r>
      <w:r>
        <w:rPr>
          <w:rFonts w:ascii="Arial"/>
          <w:lang w:val="it-IT"/>
        </w:rPr>
        <w:t xml:space="preserve">, </w:t>
      </w:r>
      <w:proofErr w:type="spellStart"/>
      <w:r>
        <w:rPr>
          <w:rFonts w:ascii="Arial"/>
          <w:lang w:val="it-IT"/>
        </w:rPr>
        <w:t>Naples</w:t>
      </w:r>
      <w:proofErr w:type="spellEnd"/>
      <w:r>
        <w:rPr>
          <w:rFonts w:ascii="Arial"/>
          <w:lang w:val="it-IT"/>
        </w:rPr>
        <w:t>, Italy</w:t>
      </w:r>
    </w:p>
    <w:p w:rsidR="005973B9" w:rsidRPr="00DB2C9C" w:rsidRDefault="005973B9" w:rsidP="005973B9">
      <w:pPr>
        <w:pStyle w:val="Corpodeltesto"/>
        <w:spacing w:before="73" w:line="198" w:lineRule="exact"/>
        <w:ind w:left="100" w:right="5987"/>
        <w:rPr>
          <w:rFonts w:ascii="Arial"/>
          <w:lang w:val="it-IT"/>
        </w:rPr>
      </w:pPr>
    </w:p>
    <w:p w:rsidR="00AE3E37" w:rsidRPr="00DB2C9C" w:rsidRDefault="00AE3E37">
      <w:pPr>
        <w:pStyle w:val="Corpodeltesto"/>
        <w:rPr>
          <w:rFonts w:ascii="Arial"/>
          <w:sz w:val="20"/>
          <w:lang w:val="it-IT"/>
        </w:rPr>
      </w:pPr>
    </w:p>
    <w:p w:rsidR="00AE3E37" w:rsidRPr="00DB2C9C" w:rsidRDefault="00AE3E37">
      <w:pPr>
        <w:rPr>
          <w:rFonts w:ascii="Arial"/>
          <w:sz w:val="21"/>
          <w:lang w:val="it-IT"/>
        </w:rPr>
        <w:sectPr w:rsidR="00AE3E37" w:rsidRPr="00DB2C9C"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Titolo3"/>
        <w:spacing w:before="147"/>
        <w:jc w:val="both"/>
      </w:pPr>
      <w:r>
        <w:rPr>
          <w:color w:val="BF5A14"/>
        </w:rPr>
        <w:lastRenderedPageBreak/>
        <w:t>Abstract</w:t>
      </w:r>
      <w:r w:rsidR="00404E5B">
        <w:rPr>
          <w:color w:val="BF5A14"/>
        </w:rPr>
        <w:t xml:space="preserve"> (300 word limit)</w:t>
      </w:r>
    </w:p>
    <w:p w:rsidR="0036051B" w:rsidRPr="0036051B" w:rsidRDefault="0036051B" w:rsidP="0036051B">
      <w:pPr>
        <w:pStyle w:val="Titolo3"/>
        <w:ind w:left="102"/>
        <w:contextualSpacing/>
        <w:jc w:val="both"/>
        <w:rPr>
          <w:rFonts w:ascii="Tw Cen MT" w:eastAsia="Tw Cen MT" w:hAnsi="Tw Cen MT" w:cs="Tw Cen MT"/>
          <w:b w:val="0"/>
          <w:bCs w:val="0"/>
          <w:sz w:val="18"/>
          <w:szCs w:val="18"/>
        </w:rPr>
      </w:pPr>
      <w:proofErr w:type="spellStart"/>
      <w:r w:rsidRPr="0036051B">
        <w:rPr>
          <w:rFonts w:ascii="Tw Cen MT" w:eastAsia="Tw Cen MT" w:hAnsi="Tw Cen MT" w:cs="Tw Cen MT"/>
          <w:b w:val="0"/>
          <w:bCs w:val="0"/>
          <w:sz w:val="18"/>
          <w:szCs w:val="18"/>
        </w:rPr>
        <w:t>Coronavirus</w:t>
      </w:r>
      <w:proofErr w:type="spellEnd"/>
      <w:r w:rsidRPr="0036051B">
        <w:rPr>
          <w:rFonts w:ascii="Tw Cen MT" w:eastAsia="Tw Cen MT" w:hAnsi="Tw Cen MT" w:cs="Tw Cen MT"/>
          <w:b w:val="0"/>
          <w:bCs w:val="0"/>
          <w:sz w:val="18"/>
          <w:szCs w:val="18"/>
        </w:rPr>
        <w:t xml:space="preserve"> disease-19 (COVID-19) is now a global pandemic. Fever, cough, muscle aches, </w:t>
      </w:r>
      <w:proofErr w:type="spellStart"/>
      <w:r w:rsidRPr="0036051B">
        <w:rPr>
          <w:rFonts w:ascii="Tw Cen MT" w:eastAsia="Tw Cen MT" w:hAnsi="Tw Cen MT" w:cs="Tw Cen MT"/>
          <w:b w:val="0"/>
          <w:bCs w:val="0"/>
          <w:sz w:val="18"/>
          <w:szCs w:val="18"/>
        </w:rPr>
        <w:t>dyspnea</w:t>
      </w:r>
      <w:proofErr w:type="spellEnd"/>
      <w:r w:rsidRPr="0036051B">
        <w:rPr>
          <w:rFonts w:ascii="Tw Cen MT" w:eastAsia="Tw Cen MT" w:hAnsi="Tw Cen MT" w:cs="Tw Cen MT"/>
          <w:b w:val="0"/>
          <w:bCs w:val="0"/>
          <w:sz w:val="18"/>
          <w:szCs w:val="18"/>
        </w:rPr>
        <w:t>, and fatigue can be presenting symptoms, as well as smell and taste dysfunction, usually in presence of a patent nasopharyngeal airway. The virus, as it is known, first of all attacks the nasal mucosa by activating the local immune system.</w:t>
      </w:r>
    </w:p>
    <w:p w:rsidR="0036051B" w:rsidRPr="0036051B" w:rsidRDefault="0036051B" w:rsidP="0036051B">
      <w:pPr>
        <w:pStyle w:val="Titolo3"/>
        <w:ind w:left="102"/>
        <w:contextualSpacing/>
        <w:jc w:val="both"/>
        <w:rPr>
          <w:rFonts w:ascii="Tw Cen MT" w:eastAsia="Tw Cen MT" w:hAnsi="Tw Cen MT" w:cs="Tw Cen MT"/>
          <w:b w:val="0"/>
          <w:bCs w:val="0"/>
          <w:sz w:val="18"/>
          <w:szCs w:val="18"/>
        </w:rPr>
      </w:pPr>
      <w:r w:rsidRPr="0036051B">
        <w:rPr>
          <w:rFonts w:ascii="Tw Cen MT" w:eastAsia="Tw Cen MT" w:hAnsi="Tw Cen MT" w:cs="Tw Cen MT"/>
          <w:b w:val="0"/>
          <w:bCs w:val="0"/>
          <w:sz w:val="18"/>
          <w:szCs w:val="18"/>
        </w:rPr>
        <w:t xml:space="preserve">Recent studies report that the cytological effects on the nasal mucosa are characterized by its disorder. The observation under the optical microscope, documents a cell infiltration characterized by </w:t>
      </w:r>
      <w:proofErr w:type="spellStart"/>
      <w:r w:rsidRPr="0036051B">
        <w:rPr>
          <w:rFonts w:ascii="Tw Cen MT" w:eastAsia="Tw Cen MT" w:hAnsi="Tw Cen MT" w:cs="Tw Cen MT"/>
          <w:b w:val="0"/>
          <w:bCs w:val="0"/>
          <w:sz w:val="18"/>
          <w:szCs w:val="18"/>
        </w:rPr>
        <w:t>neutrophils</w:t>
      </w:r>
      <w:proofErr w:type="spellEnd"/>
      <w:r w:rsidRPr="0036051B">
        <w:rPr>
          <w:rFonts w:ascii="Tw Cen MT" w:eastAsia="Tw Cen MT" w:hAnsi="Tw Cen MT" w:cs="Tw Cen MT"/>
          <w:b w:val="0"/>
          <w:bCs w:val="0"/>
          <w:sz w:val="18"/>
          <w:szCs w:val="18"/>
        </w:rPr>
        <w:t>, lymphocytes and epithelial cells, which have "</w:t>
      </w:r>
      <w:proofErr w:type="spellStart"/>
      <w:r w:rsidRPr="0036051B">
        <w:rPr>
          <w:rFonts w:ascii="Tw Cen MT" w:eastAsia="Tw Cen MT" w:hAnsi="Tw Cen MT" w:cs="Tw Cen MT"/>
          <w:b w:val="0"/>
          <w:bCs w:val="0"/>
          <w:sz w:val="18"/>
          <w:szCs w:val="18"/>
        </w:rPr>
        <w:t>Ciliocytophthoria</w:t>
      </w:r>
      <w:proofErr w:type="spellEnd"/>
      <w:r w:rsidRPr="0036051B">
        <w:rPr>
          <w:rFonts w:ascii="Tw Cen MT" w:eastAsia="Tw Cen MT" w:hAnsi="Tw Cen MT" w:cs="Tw Cen MT"/>
          <w:b w:val="0"/>
          <w:bCs w:val="0"/>
          <w:sz w:val="18"/>
          <w:szCs w:val="18"/>
        </w:rPr>
        <w:t xml:space="preserve">" (fig. 1), the main sign of cell damage from viruses. However , there are other aspects that in the future could be an additional element of in-depth diagnostics, as well as prevention and monitoring. This is the study of atypical lymphocytes that can be observed on the nasal mucosa. </w:t>
      </w:r>
    </w:p>
    <w:p w:rsidR="0036051B" w:rsidRPr="0036051B" w:rsidRDefault="0036051B" w:rsidP="0036051B">
      <w:pPr>
        <w:pStyle w:val="Titolo3"/>
        <w:ind w:left="102"/>
        <w:contextualSpacing/>
        <w:jc w:val="both"/>
        <w:rPr>
          <w:rFonts w:ascii="Tw Cen MT" w:eastAsia="Tw Cen MT" w:hAnsi="Tw Cen MT" w:cs="Tw Cen MT"/>
          <w:b w:val="0"/>
          <w:bCs w:val="0"/>
          <w:sz w:val="18"/>
          <w:szCs w:val="18"/>
        </w:rPr>
      </w:pPr>
      <w:r w:rsidRPr="0036051B">
        <w:rPr>
          <w:rFonts w:ascii="Tw Cen MT" w:eastAsia="Tw Cen MT" w:hAnsi="Tw Cen MT" w:cs="Tw Cen MT"/>
          <w:b w:val="0"/>
          <w:bCs w:val="0"/>
          <w:sz w:val="18"/>
          <w:szCs w:val="18"/>
        </w:rPr>
        <w:t xml:space="preserve">To study this aspect, at the AIAS of </w:t>
      </w:r>
      <w:proofErr w:type="spellStart"/>
      <w:r w:rsidRPr="0036051B">
        <w:rPr>
          <w:rFonts w:ascii="Tw Cen MT" w:eastAsia="Tw Cen MT" w:hAnsi="Tw Cen MT" w:cs="Tw Cen MT"/>
          <w:b w:val="0"/>
          <w:bCs w:val="0"/>
          <w:sz w:val="18"/>
          <w:szCs w:val="18"/>
        </w:rPr>
        <w:t>Afragola</w:t>
      </w:r>
      <w:proofErr w:type="spellEnd"/>
      <w:r w:rsidRPr="0036051B">
        <w:rPr>
          <w:rFonts w:ascii="Tw Cen MT" w:eastAsia="Tw Cen MT" w:hAnsi="Tw Cen MT" w:cs="Tw Cen MT"/>
          <w:b w:val="0"/>
          <w:bCs w:val="0"/>
          <w:sz w:val="18"/>
          <w:szCs w:val="18"/>
        </w:rPr>
        <w:t xml:space="preserve">, with the </w:t>
      </w:r>
      <w:proofErr w:type="spellStart"/>
      <w:r w:rsidRPr="0036051B">
        <w:rPr>
          <w:rFonts w:ascii="Tw Cen MT" w:eastAsia="Tw Cen MT" w:hAnsi="Tw Cen MT" w:cs="Tw Cen MT"/>
          <w:b w:val="0"/>
          <w:bCs w:val="0"/>
          <w:sz w:val="18"/>
          <w:szCs w:val="18"/>
        </w:rPr>
        <w:t>favourable</w:t>
      </w:r>
      <w:proofErr w:type="spellEnd"/>
      <w:r w:rsidRPr="0036051B">
        <w:rPr>
          <w:rFonts w:ascii="Tw Cen MT" w:eastAsia="Tw Cen MT" w:hAnsi="Tw Cen MT" w:cs="Tw Cen MT"/>
          <w:b w:val="0"/>
          <w:bCs w:val="0"/>
          <w:sz w:val="18"/>
          <w:szCs w:val="18"/>
        </w:rPr>
        <w:t xml:space="preserve"> opinion of the Scientific Committee, were performed, by scraping, samples of nasal mucosa to patients (30 males and 30 females minimum age 30 maximum age 60 average 45,5) Two weeks in rehab, recovering from COVID. A control group was used. The nasal mucosa was stained with MGG and observed with the 100x optical microscope. </w:t>
      </w:r>
    </w:p>
    <w:p w:rsidR="0036051B" w:rsidRPr="0036051B" w:rsidRDefault="0036051B" w:rsidP="0036051B">
      <w:pPr>
        <w:pStyle w:val="Titolo3"/>
        <w:ind w:left="102"/>
        <w:contextualSpacing/>
        <w:jc w:val="both"/>
        <w:rPr>
          <w:rFonts w:ascii="Tw Cen MT" w:eastAsia="Tw Cen MT" w:hAnsi="Tw Cen MT" w:cs="Tw Cen MT"/>
          <w:b w:val="0"/>
          <w:bCs w:val="0"/>
          <w:sz w:val="18"/>
          <w:szCs w:val="18"/>
        </w:rPr>
      </w:pPr>
      <w:r w:rsidRPr="0036051B">
        <w:rPr>
          <w:rFonts w:ascii="Tw Cen MT" w:eastAsia="Tw Cen MT" w:hAnsi="Tw Cen MT" w:cs="Tw Cen MT"/>
          <w:b w:val="0"/>
          <w:bCs w:val="0"/>
          <w:sz w:val="18"/>
          <w:szCs w:val="18"/>
        </w:rPr>
        <w:t>The observation of lymphocytes in all POST-COVID patients documented the presence of atypical ly</w:t>
      </w:r>
      <w:r w:rsidR="00FB65C7">
        <w:rPr>
          <w:rFonts w:ascii="Tw Cen MT" w:eastAsia="Tw Cen MT" w:hAnsi="Tw Cen MT" w:cs="Tw Cen MT"/>
          <w:b w:val="0"/>
          <w:bCs w:val="0"/>
          <w:sz w:val="18"/>
          <w:szCs w:val="18"/>
        </w:rPr>
        <w:t>mphocytes. These were grouped</w:t>
      </w:r>
      <w:r w:rsidRPr="0036051B">
        <w:rPr>
          <w:rFonts w:ascii="Tw Cen MT" w:eastAsia="Tw Cen MT" w:hAnsi="Tw Cen MT" w:cs="Tw Cen MT"/>
          <w:b w:val="0"/>
          <w:bCs w:val="0"/>
          <w:sz w:val="18"/>
          <w:szCs w:val="18"/>
        </w:rPr>
        <w:t xml:space="preserve">, according to the literature, in two groups (fig 2) 1. </w:t>
      </w:r>
      <w:proofErr w:type="spellStart"/>
      <w:r w:rsidRPr="0036051B">
        <w:rPr>
          <w:rFonts w:ascii="Tw Cen MT" w:eastAsia="Tw Cen MT" w:hAnsi="Tw Cen MT" w:cs="Tw Cen MT"/>
          <w:b w:val="0"/>
          <w:bCs w:val="0"/>
          <w:sz w:val="18"/>
          <w:szCs w:val="18"/>
        </w:rPr>
        <w:t>Plasmacytoid</w:t>
      </w:r>
      <w:proofErr w:type="spellEnd"/>
      <w:r w:rsidRPr="0036051B">
        <w:rPr>
          <w:rFonts w:ascii="Tw Cen MT" w:eastAsia="Tw Cen MT" w:hAnsi="Tw Cen MT" w:cs="Tw Cen MT"/>
          <w:b w:val="0"/>
          <w:bCs w:val="0"/>
          <w:sz w:val="18"/>
          <w:szCs w:val="18"/>
        </w:rPr>
        <w:t xml:space="preserve"> features; 2.  Downey II-like cells. </w:t>
      </w:r>
    </w:p>
    <w:p w:rsidR="00AE3E37" w:rsidRDefault="0036051B" w:rsidP="0036051B">
      <w:pPr>
        <w:pStyle w:val="Titolo3"/>
        <w:ind w:left="102"/>
        <w:contextualSpacing/>
        <w:jc w:val="both"/>
        <w:rPr>
          <w:color w:val="BF5A14"/>
        </w:rPr>
      </w:pPr>
      <w:r w:rsidRPr="0036051B">
        <w:rPr>
          <w:rFonts w:ascii="Tw Cen MT" w:eastAsia="Tw Cen MT" w:hAnsi="Tw Cen MT" w:cs="Tw Cen MT"/>
          <w:b w:val="0"/>
          <w:bCs w:val="0"/>
          <w:sz w:val="18"/>
          <w:szCs w:val="18"/>
        </w:rPr>
        <w:t>Of these two groups, those belonging to the former are more relevant. This aspect agrees with the literature that detects a greater amount of lymphocytes belonging to the first group. In the light of these results, the cytological methodology could encourage further developments not only for the monitoring of the disease but set a precise therapeutic path</w:t>
      </w:r>
      <w:r w:rsidR="00A9710C" w:rsidRPr="0036051B">
        <w:rPr>
          <w:b w:val="0"/>
        </w:rPr>
        <w:br w:type="column"/>
      </w:r>
      <w:r w:rsidR="0042379B" w:rsidRPr="0036051B">
        <w:rPr>
          <w:b w:val="0"/>
        </w:rPr>
        <w:lastRenderedPageBreak/>
        <w:t xml:space="preserve"> </w:t>
      </w:r>
      <w:r w:rsidR="00A9710C" w:rsidRPr="0036051B">
        <w:rPr>
          <w:color w:val="BF5A14"/>
        </w:rPr>
        <w:t>Image</w:t>
      </w:r>
    </w:p>
    <w:p w:rsidR="003318EB" w:rsidRDefault="003318EB" w:rsidP="0036051B">
      <w:pPr>
        <w:pStyle w:val="Titolo3"/>
        <w:ind w:left="102"/>
        <w:contextualSpacing/>
        <w:jc w:val="both"/>
        <w:rPr>
          <w:color w:val="BF5A14"/>
        </w:rPr>
      </w:pPr>
    </w:p>
    <w:p w:rsidR="003318EB" w:rsidRDefault="00A2060A" w:rsidP="0036051B">
      <w:pPr>
        <w:pStyle w:val="Titolo3"/>
        <w:ind w:left="102"/>
        <w:contextualSpacing/>
        <w:jc w:val="both"/>
        <w:rPr>
          <w:color w:val="BF5A14"/>
        </w:rPr>
      </w:pPr>
      <w:r>
        <w:rPr>
          <w:noProof/>
          <w:color w:val="BF5A14"/>
          <w:lang w:val="it-IT" w:eastAsia="it-IT"/>
        </w:rPr>
        <w:drawing>
          <wp:inline distT="0" distB="0" distL="0" distR="0">
            <wp:extent cx="1949450" cy="1462187"/>
            <wp:effectExtent l="19050" t="0" r="0" b="0"/>
            <wp:docPr id="2" name="Immagine 1"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9" cstate="print"/>
                    <a:stretch>
                      <a:fillRect/>
                    </a:stretch>
                  </pic:blipFill>
                  <pic:spPr>
                    <a:xfrm>
                      <a:off x="0" y="0"/>
                      <a:ext cx="1954144" cy="1465707"/>
                    </a:xfrm>
                    <a:prstGeom prst="rect">
                      <a:avLst/>
                    </a:prstGeom>
                  </pic:spPr>
                </pic:pic>
              </a:graphicData>
            </a:graphic>
          </wp:inline>
        </w:drawing>
      </w:r>
    </w:p>
    <w:p w:rsidR="00436341" w:rsidRPr="00B473E5" w:rsidRDefault="00A2060A" w:rsidP="00436341">
      <w:pPr>
        <w:pStyle w:val="Didascalia"/>
        <w:spacing w:after="0"/>
        <w:contextualSpacing/>
        <w:rPr>
          <w:b w:val="0"/>
          <w:color w:val="auto"/>
          <w:sz w:val="16"/>
          <w:szCs w:val="16"/>
        </w:rPr>
      </w:pPr>
      <w:r w:rsidRPr="006336E8">
        <w:rPr>
          <w:sz w:val="16"/>
          <w:szCs w:val="16"/>
        </w:rPr>
        <w:t>Fig. 1</w:t>
      </w:r>
      <w:r w:rsidR="00436341">
        <w:rPr>
          <w:sz w:val="16"/>
          <w:szCs w:val="16"/>
        </w:rPr>
        <w:t xml:space="preserve"> </w:t>
      </w:r>
      <w:r w:rsidR="00436341" w:rsidRPr="00B473E5">
        <w:rPr>
          <w:b w:val="0"/>
          <w:color w:val="auto"/>
          <w:sz w:val="16"/>
          <w:szCs w:val="16"/>
        </w:rPr>
        <w:t>“</w:t>
      </w:r>
      <w:proofErr w:type="spellStart"/>
      <w:r w:rsidR="00436341" w:rsidRPr="00B473E5">
        <w:rPr>
          <w:b w:val="0"/>
          <w:bCs w:val="0"/>
          <w:color w:val="auto"/>
        </w:rPr>
        <w:t>Ciliocytophthoria</w:t>
      </w:r>
      <w:proofErr w:type="spellEnd"/>
      <w:r w:rsidR="00436341" w:rsidRPr="00B473E5">
        <w:rPr>
          <w:b w:val="0"/>
          <w:bCs w:val="0"/>
          <w:color w:val="auto"/>
        </w:rPr>
        <w:t>"</w:t>
      </w:r>
      <w:r w:rsidR="006336E8" w:rsidRPr="00B473E5">
        <w:rPr>
          <w:b w:val="0"/>
          <w:color w:val="auto"/>
          <w:sz w:val="16"/>
          <w:szCs w:val="16"/>
        </w:rPr>
        <w:t xml:space="preserve"> </w:t>
      </w:r>
      <w:r w:rsidR="00436341" w:rsidRPr="00B473E5">
        <w:rPr>
          <w:b w:val="0"/>
          <w:color w:val="auto"/>
          <w:sz w:val="16"/>
          <w:szCs w:val="16"/>
        </w:rPr>
        <w:t xml:space="preserve">Observation by optical </w:t>
      </w:r>
    </w:p>
    <w:p w:rsidR="006336E8" w:rsidRPr="00B473E5" w:rsidRDefault="00E64170" w:rsidP="00436341">
      <w:pPr>
        <w:pStyle w:val="Didascalia"/>
        <w:spacing w:after="0"/>
        <w:contextualSpacing/>
        <w:rPr>
          <w:b w:val="0"/>
          <w:color w:val="auto"/>
          <w:sz w:val="16"/>
          <w:szCs w:val="16"/>
          <w:lang w:val="it-IT"/>
        </w:rPr>
      </w:pPr>
      <w:r w:rsidRPr="00B473E5">
        <w:rPr>
          <w:b w:val="0"/>
          <w:color w:val="auto"/>
          <w:sz w:val="16"/>
          <w:szCs w:val="16"/>
        </w:rPr>
        <w:t>microscope. M</w:t>
      </w:r>
      <w:r w:rsidR="00436341" w:rsidRPr="00B473E5">
        <w:rPr>
          <w:b w:val="0"/>
          <w:color w:val="auto"/>
          <w:sz w:val="16"/>
          <w:szCs w:val="16"/>
        </w:rPr>
        <w:t xml:space="preserve">agnification at 100 x oil immersion. </w:t>
      </w:r>
      <w:r w:rsidR="00436341" w:rsidRPr="00B473E5">
        <w:rPr>
          <w:b w:val="0"/>
          <w:color w:val="auto"/>
          <w:sz w:val="16"/>
          <w:szCs w:val="16"/>
          <w:lang w:val="it-IT"/>
        </w:rPr>
        <w:t>Col. MGG</w:t>
      </w:r>
    </w:p>
    <w:p w:rsidR="00436341" w:rsidRPr="00436341" w:rsidRDefault="00436341" w:rsidP="00436341">
      <w:pPr>
        <w:rPr>
          <w:lang w:val="it-IT"/>
        </w:rPr>
      </w:pPr>
    </w:p>
    <w:tbl>
      <w:tblPr>
        <w:tblStyle w:val="Grigliatabella"/>
        <w:tblW w:w="4820" w:type="dxa"/>
        <w:tblInd w:w="250" w:type="dxa"/>
        <w:tblLook w:val="04A0"/>
      </w:tblPr>
      <w:tblGrid>
        <w:gridCol w:w="2552"/>
        <w:gridCol w:w="2268"/>
      </w:tblGrid>
      <w:tr w:rsidR="006336E8" w:rsidRPr="00436341" w:rsidTr="006513D5">
        <w:trPr>
          <w:trHeight w:val="278"/>
        </w:trPr>
        <w:tc>
          <w:tcPr>
            <w:tcW w:w="2552" w:type="dxa"/>
          </w:tcPr>
          <w:p w:rsidR="006336E8" w:rsidRPr="00436341" w:rsidRDefault="00F36D86" w:rsidP="006513D5">
            <w:pPr>
              <w:ind w:left="176"/>
              <w:jc w:val="right"/>
              <w:rPr>
                <w:lang w:val="it-IT"/>
              </w:rPr>
            </w:pPr>
            <w:r>
              <w:rPr>
                <w:noProof/>
                <w:lang w:val="it-IT" w:eastAsia="it-IT"/>
              </w:rPr>
              <w:drawing>
                <wp:inline distT="0" distB="0" distL="0" distR="0">
                  <wp:extent cx="1147312" cy="1054100"/>
                  <wp:effectExtent l="19050" t="0" r="0" b="0"/>
                  <wp:docPr id="6" name="Immagine 5" descr="30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 i.jpg"/>
                          <pic:cNvPicPr/>
                        </pic:nvPicPr>
                        <pic:blipFill>
                          <a:blip r:embed="rId10" cstate="print"/>
                          <a:stretch>
                            <a:fillRect/>
                          </a:stretch>
                        </pic:blipFill>
                        <pic:spPr>
                          <a:xfrm>
                            <a:off x="0" y="0"/>
                            <a:ext cx="1147312" cy="1054100"/>
                          </a:xfrm>
                          <a:prstGeom prst="rect">
                            <a:avLst/>
                          </a:prstGeom>
                        </pic:spPr>
                      </pic:pic>
                    </a:graphicData>
                  </a:graphic>
                </wp:inline>
              </w:drawing>
            </w:r>
            <w:r>
              <w:rPr>
                <w:lang w:val="it-IT"/>
              </w:rPr>
              <w:t xml:space="preserve">   </w:t>
            </w:r>
            <w:r w:rsidR="006513D5">
              <w:rPr>
                <w:lang w:val="it-IT"/>
              </w:rPr>
              <w:t xml:space="preserve">    </w:t>
            </w:r>
            <w:r w:rsidR="006F1DC5">
              <w:rPr>
                <w:lang w:val="it-IT"/>
              </w:rPr>
              <w:t>sin</w:t>
            </w:r>
          </w:p>
        </w:tc>
        <w:tc>
          <w:tcPr>
            <w:tcW w:w="2268" w:type="dxa"/>
          </w:tcPr>
          <w:p w:rsidR="006336E8" w:rsidRPr="00436341" w:rsidRDefault="00F36D86" w:rsidP="00F36D86">
            <w:pPr>
              <w:ind w:left="-176" w:firstLine="176"/>
              <w:rPr>
                <w:lang w:val="it-IT"/>
              </w:rPr>
            </w:pPr>
            <w:r>
              <w:rPr>
                <w:noProof/>
                <w:lang w:val="it-IT" w:eastAsia="it-IT"/>
              </w:rPr>
              <w:drawing>
                <wp:inline distT="0" distB="0" distL="0" distR="0">
                  <wp:extent cx="800100" cy="1119027"/>
                  <wp:effectExtent l="19050" t="0" r="0" b="0"/>
                  <wp:docPr id="7" name="Immagine 6" descr="Immagine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OK.jpg"/>
                          <pic:cNvPicPr/>
                        </pic:nvPicPr>
                        <pic:blipFill>
                          <a:blip r:embed="rId11" cstate="print"/>
                          <a:srcRect r="57143" b="15682"/>
                          <a:stretch>
                            <a:fillRect/>
                          </a:stretch>
                        </pic:blipFill>
                        <pic:spPr>
                          <a:xfrm>
                            <a:off x="0" y="0"/>
                            <a:ext cx="800100" cy="1119027"/>
                          </a:xfrm>
                          <a:prstGeom prst="rect">
                            <a:avLst/>
                          </a:prstGeom>
                        </pic:spPr>
                      </pic:pic>
                    </a:graphicData>
                  </a:graphic>
                </wp:inline>
              </w:drawing>
            </w:r>
            <w:r w:rsidR="00E64170">
              <w:rPr>
                <w:lang w:val="it-IT"/>
              </w:rPr>
              <w:t xml:space="preserve"> </w:t>
            </w:r>
            <w:proofErr w:type="spellStart"/>
            <w:r w:rsidR="00E64170">
              <w:rPr>
                <w:lang w:val="it-IT"/>
              </w:rPr>
              <w:t>dx</w:t>
            </w:r>
            <w:proofErr w:type="spellEnd"/>
          </w:p>
        </w:tc>
      </w:tr>
      <w:tr w:rsidR="00E64170" w:rsidRPr="006513D5" w:rsidTr="006513D5">
        <w:trPr>
          <w:trHeight w:val="278"/>
        </w:trPr>
        <w:tc>
          <w:tcPr>
            <w:tcW w:w="4820" w:type="dxa"/>
            <w:gridSpan w:val="2"/>
          </w:tcPr>
          <w:p w:rsidR="006513D5" w:rsidRDefault="00E64170" w:rsidP="006513D5">
            <w:pPr>
              <w:rPr>
                <w:b/>
                <w:color w:val="548DD4" w:themeColor="text2" w:themeTint="99"/>
                <w:sz w:val="16"/>
                <w:szCs w:val="16"/>
              </w:rPr>
            </w:pPr>
            <w:r w:rsidRPr="00E64170">
              <w:rPr>
                <w:b/>
                <w:color w:val="548DD4" w:themeColor="text2" w:themeTint="99"/>
                <w:sz w:val="16"/>
                <w:szCs w:val="16"/>
              </w:rPr>
              <w:t xml:space="preserve">Fig. </w:t>
            </w:r>
            <w:r w:rsidR="006513D5">
              <w:rPr>
                <w:b/>
                <w:color w:val="548DD4" w:themeColor="text2" w:themeTint="99"/>
                <w:sz w:val="16"/>
                <w:szCs w:val="16"/>
              </w:rPr>
              <w:t>2</w:t>
            </w:r>
          </w:p>
          <w:p w:rsidR="00A65BBB" w:rsidRDefault="006513D5" w:rsidP="006513D5">
            <w:pPr>
              <w:rPr>
                <w:b/>
                <w:sz w:val="16"/>
                <w:szCs w:val="16"/>
              </w:rPr>
            </w:pPr>
            <w:r>
              <w:rPr>
                <w:b/>
                <w:color w:val="548DD4" w:themeColor="text2" w:themeTint="99"/>
                <w:sz w:val="16"/>
                <w:szCs w:val="16"/>
              </w:rPr>
              <w:t xml:space="preserve"> </w:t>
            </w:r>
            <w:proofErr w:type="spellStart"/>
            <w:r>
              <w:rPr>
                <w:b/>
                <w:color w:val="548DD4" w:themeColor="text2" w:themeTint="99"/>
                <w:sz w:val="16"/>
                <w:szCs w:val="16"/>
              </w:rPr>
              <w:t>dx</w:t>
            </w:r>
            <w:proofErr w:type="spellEnd"/>
            <w:r>
              <w:rPr>
                <w:b/>
                <w:color w:val="548DD4" w:themeColor="text2" w:themeTint="99"/>
                <w:sz w:val="16"/>
                <w:szCs w:val="16"/>
              </w:rPr>
              <w:t xml:space="preserve">: </w:t>
            </w:r>
            <w:r w:rsidRPr="006513D5">
              <w:rPr>
                <w:sz w:val="16"/>
                <w:szCs w:val="16"/>
              </w:rPr>
              <w:t xml:space="preserve">Atypical lymphocytes showing </w:t>
            </w:r>
            <w:proofErr w:type="spellStart"/>
            <w:r w:rsidRPr="006513D5">
              <w:rPr>
                <w:sz w:val="16"/>
                <w:szCs w:val="16"/>
              </w:rPr>
              <w:t>plasmacytoid</w:t>
            </w:r>
            <w:proofErr w:type="spellEnd"/>
            <w:r w:rsidRPr="006513D5">
              <w:rPr>
                <w:sz w:val="16"/>
                <w:szCs w:val="16"/>
              </w:rPr>
              <w:t xml:space="preserve"> features including small size, eccentric nucleus and dark blue cytoplasm.</w:t>
            </w:r>
            <w:r w:rsidR="00B473E5" w:rsidRPr="00B473E5">
              <w:rPr>
                <w:b/>
                <w:sz w:val="16"/>
                <w:szCs w:val="16"/>
              </w:rPr>
              <w:t xml:space="preserve"> </w:t>
            </w:r>
          </w:p>
          <w:p w:rsidR="006513D5" w:rsidRPr="00B473E5" w:rsidRDefault="00B473E5" w:rsidP="006513D5">
            <w:pPr>
              <w:rPr>
                <w:sz w:val="16"/>
                <w:szCs w:val="16"/>
              </w:rPr>
            </w:pPr>
            <w:r w:rsidRPr="00B473E5">
              <w:rPr>
                <w:sz w:val="16"/>
                <w:szCs w:val="16"/>
              </w:rPr>
              <w:t xml:space="preserve">Magnification at 100 x oil immersion. </w:t>
            </w:r>
            <w:r w:rsidRPr="006A4DDD">
              <w:rPr>
                <w:sz w:val="16"/>
                <w:szCs w:val="16"/>
              </w:rPr>
              <w:t>Col. MGG</w:t>
            </w:r>
          </w:p>
          <w:p w:rsidR="006513D5" w:rsidRPr="006513D5" w:rsidRDefault="006513D5" w:rsidP="006513D5">
            <w:pPr>
              <w:rPr>
                <w:sz w:val="16"/>
                <w:szCs w:val="16"/>
              </w:rPr>
            </w:pPr>
            <w:r w:rsidRPr="006513D5">
              <w:rPr>
                <w:b/>
                <w:color w:val="548DD4" w:themeColor="text2" w:themeTint="99"/>
                <w:sz w:val="16"/>
                <w:szCs w:val="16"/>
              </w:rPr>
              <w:t>Sin</w:t>
            </w:r>
            <w:r w:rsidR="006A4DDD">
              <w:rPr>
                <w:b/>
                <w:color w:val="548DD4" w:themeColor="text2" w:themeTint="99"/>
                <w:sz w:val="16"/>
                <w:szCs w:val="16"/>
              </w:rPr>
              <w:t>:</w:t>
            </w:r>
            <w:r w:rsidRPr="006513D5">
              <w:rPr>
                <w:sz w:val="16"/>
                <w:szCs w:val="16"/>
              </w:rPr>
              <w:t xml:space="preserve"> Atypical lymphocytes with Downey II-like cells features showing large size, ample cytoplasm, indented nucleus, and occasional </w:t>
            </w:r>
            <w:proofErr w:type="spellStart"/>
            <w:r w:rsidRPr="006513D5">
              <w:rPr>
                <w:sz w:val="16"/>
                <w:szCs w:val="16"/>
              </w:rPr>
              <w:t>cytoplasmic</w:t>
            </w:r>
            <w:proofErr w:type="spellEnd"/>
            <w:r w:rsidRPr="006513D5">
              <w:rPr>
                <w:sz w:val="16"/>
                <w:szCs w:val="16"/>
              </w:rPr>
              <w:t xml:space="preserve"> granules.</w:t>
            </w:r>
            <w:r w:rsidR="00B473E5" w:rsidRPr="00B473E5">
              <w:rPr>
                <w:b/>
                <w:sz w:val="16"/>
                <w:szCs w:val="16"/>
              </w:rPr>
              <w:t xml:space="preserve"> </w:t>
            </w:r>
            <w:r w:rsidR="00B473E5" w:rsidRPr="00B473E5">
              <w:rPr>
                <w:sz w:val="16"/>
                <w:szCs w:val="16"/>
              </w:rPr>
              <w:t xml:space="preserve">Magnification at 100 x oil immersion. </w:t>
            </w:r>
            <w:r w:rsidR="00B473E5" w:rsidRPr="006A4DDD">
              <w:rPr>
                <w:sz w:val="16"/>
                <w:szCs w:val="16"/>
              </w:rPr>
              <w:t>Col. MGG</w:t>
            </w:r>
          </w:p>
        </w:tc>
      </w:tr>
    </w:tbl>
    <w:p w:rsidR="003318EB" w:rsidRPr="006513D5" w:rsidRDefault="003318EB" w:rsidP="006F1DC5">
      <w:pPr>
        <w:pStyle w:val="Titolo3"/>
        <w:ind w:left="0"/>
        <w:contextualSpacing/>
        <w:jc w:val="both"/>
        <w:rPr>
          <w:color w:val="BF5A14"/>
        </w:rPr>
      </w:pPr>
    </w:p>
    <w:p w:rsidR="005973B9" w:rsidRPr="006A4DDD" w:rsidRDefault="005973B9" w:rsidP="005973B9">
      <w:pPr>
        <w:spacing w:line="204" w:lineRule="exact"/>
        <w:rPr>
          <w:rFonts w:ascii="Arial"/>
          <w:b/>
          <w:sz w:val="20"/>
        </w:rPr>
      </w:pPr>
      <w:r w:rsidRPr="006A4DDD">
        <w:rPr>
          <w:rFonts w:ascii="Arial"/>
          <w:b/>
          <w:color w:val="BF5A14"/>
          <w:sz w:val="20"/>
        </w:rPr>
        <w:t>Recent Publications (minimum 5)</w:t>
      </w:r>
    </w:p>
    <w:p w:rsidR="00972FD2" w:rsidRPr="003318EB" w:rsidRDefault="00972FD2" w:rsidP="00972FD2">
      <w:pPr>
        <w:pStyle w:val="Paragrafoelenco"/>
        <w:numPr>
          <w:ilvl w:val="0"/>
          <w:numId w:val="3"/>
        </w:numPr>
        <w:tabs>
          <w:tab w:val="left" w:pos="384"/>
        </w:tabs>
        <w:spacing w:line="216" w:lineRule="exact"/>
        <w:ind w:right="137"/>
        <w:rPr>
          <w:rFonts w:asciiTheme="minorHAnsi" w:hAnsiTheme="minorHAnsi" w:cstheme="minorHAnsi"/>
          <w:sz w:val="16"/>
          <w:szCs w:val="16"/>
          <w:lang w:val="it-IT"/>
        </w:rPr>
      </w:pPr>
      <w:proofErr w:type="spellStart"/>
      <w:r w:rsidRPr="0018520B">
        <w:rPr>
          <w:rFonts w:asciiTheme="minorHAnsi" w:hAnsiTheme="minorHAnsi" w:cstheme="minorHAnsi"/>
          <w:sz w:val="16"/>
          <w:szCs w:val="16"/>
          <w:lang w:val="it-IT"/>
        </w:rPr>
        <w:t>Gelardi</w:t>
      </w:r>
      <w:proofErr w:type="spellEnd"/>
      <w:r w:rsidRPr="0018520B">
        <w:rPr>
          <w:rFonts w:asciiTheme="minorHAnsi" w:hAnsiTheme="minorHAnsi" w:cstheme="minorHAnsi"/>
          <w:sz w:val="16"/>
          <w:szCs w:val="16"/>
          <w:lang w:val="it-IT"/>
        </w:rPr>
        <w:t xml:space="preserve"> M, </w:t>
      </w:r>
      <w:proofErr w:type="spellStart"/>
      <w:r w:rsidRPr="0018520B">
        <w:rPr>
          <w:rFonts w:asciiTheme="minorHAnsi" w:hAnsiTheme="minorHAnsi" w:cstheme="minorHAnsi"/>
          <w:sz w:val="16"/>
          <w:szCs w:val="16"/>
          <w:lang w:val="it-IT"/>
        </w:rPr>
        <w:t>Notargiacomo</w:t>
      </w:r>
      <w:proofErr w:type="spellEnd"/>
      <w:r w:rsidRPr="0018520B">
        <w:rPr>
          <w:rFonts w:asciiTheme="minorHAnsi" w:hAnsiTheme="minorHAnsi" w:cstheme="minorHAnsi"/>
          <w:sz w:val="16"/>
          <w:szCs w:val="16"/>
          <w:lang w:val="it-IT"/>
        </w:rPr>
        <w:t xml:space="preserve"> M, </w:t>
      </w:r>
      <w:proofErr w:type="spellStart"/>
      <w:r w:rsidRPr="0018520B">
        <w:rPr>
          <w:rFonts w:asciiTheme="minorHAnsi" w:hAnsiTheme="minorHAnsi" w:cstheme="minorHAnsi"/>
          <w:sz w:val="16"/>
          <w:szCs w:val="16"/>
          <w:lang w:val="it-IT"/>
        </w:rPr>
        <w:t>Trecca</w:t>
      </w:r>
      <w:proofErr w:type="spellEnd"/>
      <w:r w:rsidRPr="0018520B">
        <w:rPr>
          <w:rFonts w:asciiTheme="minorHAnsi" w:hAnsiTheme="minorHAnsi" w:cstheme="minorHAnsi"/>
          <w:sz w:val="16"/>
          <w:szCs w:val="16"/>
          <w:lang w:val="it-IT"/>
        </w:rPr>
        <w:t xml:space="preserve"> E, M, C, Cassano M, </w:t>
      </w:r>
      <w:proofErr w:type="spellStart"/>
      <w:r w:rsidRPr="0018520B">
        <w:rPr>
          <w:rFonts w:asciiTheme="minorHAnsi" w:hAnsiTheme="minorHAnsi" w:cstheme="minorHAnsi"/>
          <w:sz w:val="16"/>
          <w:szCs w:val="16"/>
          <w:lang w:val="it-IT"/>
        </w:rPr>
        <w:t>Ciprandi</w:t>
      </w:r>
      <w:proofErr w:type="spellEnd"/>
      <w:r w:rsidRPr="0018520B">
        <w:rPr>
          <w:rFonts w:asciiTheme="minorHAnsi" w:hAnsiTheme="minorHAnsi" w:cstheme="minorHAnsi"/>
          <w:sz w:val="16"/>
          <w:szCs w:val="16"/>
          <w:lang w:val="it-IT"/>
        </w:rPr>
        <w:t xml:space="preserve"> G</w:t>
      </w:r>
      <w:r w:rsidR="00E64170" w:rsidRPr="0018520B">
        <w:rPr>
          <w:rFonts w:asciiTheme="minorHAnsi" w:hAnsiTheme="minorHAnsi" w:cstheme="minorHAnsi"/>
          <w:sz w:val="16"/>
          <w:szCs w:val="16"/>
          <w:lang w:val="it-IT"/>
        </w:rPr>
        <w:t>(2020)</w:t>
      </w:r>
      <w:r w:rsidRPr="0018520B">
        <w:rPr>
          <w:rFonts w:asciiTheme="minorHAnsi" w:hAnsiTheme="minorHAnsi" w:cstheme="minorHAnsi"/>
          <w:sz w:val="16"/>
          <w:szCs w:val="16"/>
          <w:lang w:val="it-IT"/>
        </w:rPr>
        <w:t xml:space="preserve">: COVID-19 and </w:t>
      </w:r>
      <w:proofErr w:type="spellStart"/>
      <w:r w:rsidRPr="0018520B">
        <w:rPr>
          <w:rFonts w:asciiTheme="minorHAnsi" w:hAnsiTheme="minorHAnsi" w:cstheme="minorHAnsi"/>
          <w:sz w:val="16"/>
          <w:szCs w:val="16"/>
          <w:lang w:val="it-IT"/>
        </w:rPr>
        <w:t>NasalCyto</w:t>
      </w:r>
      <w:r w:rsidRPr="003318EB">
        <w:rPr>
          <w:rFonts w:asciiTheme="minorHAnsi" w:hAnsiTheme="minorHAnsi" w:cstheme="minorHAnsi"/>
          <w:sz w:val="16"/>
          <w:szCs w:val="16"/>
          <w:lang w:val="it-IT"/>
        </w:rPr>
        <w:t>brushCytology</w:t>
      </w:r>
      <w:proofErr w:type="spellEnd"/>
      <w:r w:rsidRPr="003318EB">
        <w:rPr>
          <w:rFonts w:asciiTheme="minorHAnsi" w:hAnsiTheme="minorHAnsi" w:cstheme="minorHAnsi"/>
          <w:sz w:val="16"/>
          <w:szCs w:val="16"/>
          <w:lang w:val="it-IT"/>
        </w:rPr>
        <w:t>.</w:t>
      </w:r>
      <w:r w:rsidR="00FB65C7" w:rsidRPr="003318EB">
        <w:rPr>
          <w:rFonts w:asciiTheme="minorHAnsi" w:hAnsiTheme="minorHAnsi" w:cstheme="minorHAnsi"/>
          <w:sz w:val="16"/>
          <w:szCs w:val="16"/>
          <w:lang w:val="it-IT"/>
        </w:rPr>
        <w:t xml:space="preserve"> </w:t>
      </w:r>
      <w:proofErr w:type="spellStart"/>
      <w:r w:rsidRPr="003318EB">
        <w:rPr>
          <w:rFonts w:asciiTheme="minorHAnsi" w:hAnsiTheme="minorHAnsi" w:cstheme="minorHAnsi"/>
          <w:sz w:val="16"/>
          <w:szCs w:val="16"/>
          <w:lang w:val="it-IT"/>
        </w:rPr>
        <w:t>ActaCytolo</w:t>
      </w:r>
      <w:r w:rsidR="00FB65C7" w:rsidRPr="003318EB">
        <w:rPr>
          <w:rFonts w:asciiTheme="minorHAnsi" w:hAnsiTheme="minorHAnsi" w:cstheme="minorHAnsi"/>
          <w:sz w:val="16"/>
          <w:szCs w:val="16"/>
          <w:lang w:val="it-IT"/>
        </w:rPr>
        <w:t>gica</w:t>
      </w:r>
      <w:proofErr w:type="spellEnd"/>
      <w:r w:rsidR="00FB65C7" w:rsidRPr="003318EB">
        <w:rPr>
          <w:rFonts w:asciiTheme="minorHAnsi" w:hAnsiTheme="minorHAnsi" w:cstheme="minorHAnsi"/>
          <w:sz w:val="16"/>
          <w:szCs w:val="16"/>
          <w:lang w:val="it-IT"/>
        </w:rPr>
        <w:t xml:space="preserve">, </w:t>
      </w:r>
      <w:r w:rsidRPr="003318EB">
        <w:rPr>
          <w:rFonts w:asciiTheme="minorHAnsi" w:hAnsiTheme="minorHAnsi" w:cstheme="minorHAnsi"/>
          <w:sz w:val="16"/>
          <w:szCs w:val="16"/>
          <w:lang w:val="it-IT"/>
        </w:rPr>
        <w:t xml:space="preserve">64:397-398. </w:t>
      </w:r>
      <w:proofErr w:type="spellStart"/>
      <w:r w:rsidRPr="003318EB">
        <w:rPr>
          <w:rFonts w:asciiTheme="minorHAnsi" w:hAnsiTheme="minorHAnsi" w:cstheme="minorHAnsi"/>
          <w:sz w:val="16"/>
          <w:szCs w:val="16"/>
          <w:lang w:val="it-IT"/>
        </w:rPr>
        <w:t>doi</w:t>
      </w:r>
      <w:proofErr w:type="spellEnd"/>
      <w:r w:rsidRPr="003318EB">
        <w:rPr>
          <w:rFonts w:asciiTheme="minorHAnsi" w:hAnsiTheme="minorHAnsi" w:cstheme="minorHAnsi"/>
          <w:sz w:val="16"/>
          <w:szCs w:val="16"/>
          <w:lang w:val="it-IT"/>
        </w:rPr>
        <w:t>: 10.1159/000508768</w:t>
      </w:r>
    </w:p>
    <w:p w:rsidR="00972FD2" w:rsidRPr="003318EB" w:rsidRDefault="00972FD2" w:rsidP="00972FD2">
      <w:pPr>
        <w:pStyle w:val="Paragrafoelenco"/>
        <w:numPr>
          <w:ilvl w:val="0"/>
          <w:numId w:val="3"/>
        </w:numPr>
        <w:rPr>
          <w:rFonts w:asciiTheme="minorHAnsi" w:hAnsiTheme="minorHAnsi" w:cstheme="minorHAnsi"/>
          <w:sz w:val="16"/>
          <w:szCs w:val="16"/>
        </w:rPr>
      </w:pPr>
      <w:proofErr w:type="spellStart"/>
      <w:r w:rsidRPr="003318EB">
        <w:rPr>
          <w:rFonts w:asciiTheme="minorHAnsi" w:hAnsiTheme="minorHAnsi" w:cstheme="minorHAnsi"/>
          <w:sz w:val="16"/>
          <w:szCs w:val="16"/>
          <w:lang w:val="it-IT"/>
        </w:rPr>
        <w:t>Gelardi</w:t>
      </w:r>
      <w:proofErr w:type="spellEnd"/>
      <w:r w:rsidRPr="003318EB">
        <w:rPr>
          <w:rFonts w:asciiTheme="minorHAnsi" w:hAnsiTheme="minorHAnsi" w:cstheme="minorHAnsi"/>
          <w:sz w:val="16"/>
          <w:szCs w:val="16"/>
          <w:lang w:val="it-IT"/>
        </w:rPr>
        <w:t xml:space="preserve"> M, </w:t>
      </w:r>
      <w:proofErr w:type="spellStart"/>
      <w:r w:rsidRPr="003318EB">
        <w:rPr>
          <w:rFonts w:asciiTheme="minorHAnsi" w:hAnsiTheme="minorHAnsi" w:cstheme="minorHAnsi"/>
          <w:sz w:val="16"/>
          <w:szCs w:val="16"/>
          <w:lang w:val="it-IT"/>
        </w:rPr>
        <w:t>Notargiacomo</w:t>
      </w:r>
      <w:proofErr w:type="spellEnd"/>
      <w:r w:rsidRPr="003318EB">
        <w:rPr>
          <w:rFonts w:asciiTheme="minorHAnsi" w:hAnsiTheme="minorHAnsi" w:cstheme="minorHAnsi"/>
          <w:sz w:val="16"/>
          <w:szCs w:val="16"/>
          <w:lang w:val="it-IT"/>
        </w:rPr>
        <w:t xml:space="preserve"> M, </w:t>
      </w:r>
      <w:proofErr w:type="spellStart"/>
      <w:r w:rsidRPr="003318EB">
        <w:rPr>
          <w:rFonts w:asciiTheme="minorHAnsi" w:hAnsiTheme="minorHAnsi" w:cstheme="minorHAnsi"/>
          <w:sz w:val="16"/>
          <w:szCs w:val="16"/>
          <w:lang w:val="it-IT"/>
        </w:rPr>
        <w:t>Trecca</w:t>
      </w:r>
      <w:proofErr w:type="spellEnd"/>
      <w:r w:rsidRPr="003318EB">
        <w:rPr>
          <w:rFonts w:asciiTheme="minorHAnsi" w:hAnsiTheme="minorHAnsi" w:cstheme="minorHAnsi"/>
          <w:sz w:val="16"/>
          <w:szCs w:val="16"/>
          <w:lang w:val="it-IT"/>
        </w:rPr>
        <w:t xml:space="preserve"> EMC, Cassano M</w:t>
      </w:r>
      <w:r w:rsidR="003318EB" w:rsidRPr="003318EB">
        <w:rPr>
          <w:rFonts w:asciiTheme="minorHAnsi" w:hAnsiTheme="minorHAnsi" w:cstheme="minorHAnsi"/>
          <w:sz w:val="16"/>
          <w:szCs w:val="16"/>
          <w:lang w:val="it-IT"/>
        </w:rPr>
        <w:t xml:space="preserve"> (2020)</w:t>
      </w:r>
      <w:r w:rsidRPr="003318EB">
        <w:rPr>
          <w:rFonts w:asciiTheme="minorHAnsi" w:hAnsiTheme="minorHAnsi" w:cstheme="minorHAnsi"/>
          <w:sz w:val="16"/>
          <w:szCs w:val="16"/>
          <w:lang w:val="it-IT"/>
        </w:rPr>
        <w:t xml:space="preserve">. </w:t>
      </w:r>
      <w:r w:rsidRPr="0018520B">
        <w:rPr>
          <w:rFonts w:asciiTheme="minorHAnsi" w:hAnsiTheme="minorHAnsi" w:cstheme="minorHAnsi"/>
          <w:sz w:val="16"/>
          <w:szCs w:val="16"/>
        </w:rPr>
        <w:t xml:space="preserve">SARS-CoV-2: </w:t>
      </w:r>
      <w:proofErr w:type="spellStart"/>
      <w:r w:rsidRPr="0018520B">
        <w:rPr>
          <w:rFonts w:asciiTheme="minorHAnsi" w:hAnsiTheme="minorHAnsi" w:cstheme="minorHAnsi"/>
          <w:sz w:val="16"/>
          <w:szCs w:val="16"/>
        </w:rPr>
        <w:t>Naso-bronchialcytologicalcorrelations</w:t>
      </w:r>
      <w:proofErr w:type="spellEnd"/>
      <w:r w:rsidRPr="0018520B">
        <w:rPr>
          <w:rFonts w:asciiTheme="minorHAnsi" w:hAnsiTheme="minorHAnsi" w:cstheme="minorHAnsi"/>
          <w:sz w:val="16"/>
          <w:szCs w:val="16"/>
        </w:rPr>
        <w:t xml:space="preserve">. </w:t>
      </w:r>
      <w:r w:rsidR="003318EB" w:rsidRPr="003318EB">
        <w:rPr>
          <w:rFonts w:asciiTheme="minorHAnsi" w:hAnsiTheme="minorHAnsi" w:cstheme="minorHAnsi"/>
          <w:sz w:val="16"/>
          <w:szCs w:val="16"/>
        </w:rPr>
        <w:t xml:space="preserve">Am J </w:t>
      </w:r>
      <w:proofErr w:type="spellStart"/>
      <w:r w:rsidR="003318EB" w:rsidRPr="003318EB">
        <w:rPr>
          <w:rFonts w:asciiTheme="minorHAnsi" w:hAnsiTheme="minorHAnsi" w:cstheme="minorHAnsi"/>
          <w:sz w:val="16"/>
          <w:szCs w:val="16"/>
        </w:rPr>
        <w:t>Otolaryngol</w:t>
      </w:r>
      <w:proofErr w:type="spellEnd"/>
      <w:r w:rsidR="003318EB" w:rsidRPr="003318EB">
        <w:rPr>
          <w:rFonts w:asciiTheme="minorHAnsi" w:hAnsiTheme="minorHAnsi" w:cstheme="minorHAnsi"/>
          <w:sz w:val="16"/>
          <w:szCs w:val="16"/>
        </w:rPr>
        <w:t xml:space="preserve">., </w:t>
      </w:r>
      <w:r w:rsidRPr="003318EB">
        <w:rPr>
          <w:rFonts w:asciiTheme="minorHAnsi" w:hAnsiTheme="minorHAnsi" w:cstheme="minorHAnsi"/>
          <w:sz w:val="16"/>
          <w:szCs w:val="16"/>
        </w:rPr>
        <w:t>41(4):102549. doi:10.1016/j.amjoto.2020.102549</w:t>
      </w:r>
    </w:p>
    <w:p w:rsidR="0092380B" w:rsidRPr="003318EB" w:rsidRDefault="0092380B" w:rsidP="005973B9">
      <w:pPr>
        <w:pStyle w:val="Paragrafoelenco"/>
        <w:numPr>
          <w:ilvl w:val="0"/>
          <w:numId w:val="3"/>
        </w:numPr>
        <w:tabs>
          <w:tab w:val="left" w:pos="384"/>
        </w:tabs>
        <w:spacing w:line="216" w:lineRule="exact"/>
        <w:ind w:right="137" w:hanging="283"/>
        <w:rPr>
          <w:rFonts w:asciiTheme="minorHAnsi" w:hAnsiTheme="minorHAnsi" w:cstheme="minorHAnsi"/>
          <w:sz w:val="16"/>
          <w:szCs w:val="16"/>
        </w:rPr>
      </w:pPr>
      <w:r w:rsidRPr="003318EB">
        <w:rPr>
          <w:rFonts w:asciiTheme="minorHAnsi" w:hAnsiTheme="minorHAnsi" w:cstheme="minorHAnsi"/>
          <w:sz w:val="16"/>
          <w:szCs w:val="16"/>
          <w:shd w:val="clear" w:color="auto" w:fill="FFFFFF"/>
        </w:rPr>
        <w:t xml:space="preserve">Chong VCL, Lim KGE, Fan BE, Chan SSW, </w:t>
      </w:r>
      <w:proofErr w:type="spellStart"/>
      <w:r w:rsidRPr="003318EB">
        <w:rPr>
          <w:rFonts w:asciiTheme="minorHAnsi" w:hAnsiTheme="minorHAnsi" w:cstheme="minorHAnsi"/>
          <w:sz w:val="16"/>
          <w:szCs w:val="16"/>
          <w:shd w:val="clear" w:color="auto" w:fill="FFFFFF"/>
        </w:rPr>
        <w:t>Ong</w:t>
      </w:r>
      <w:proofErr w:type="spellEnd"/>
      <w:r w:rsidRPr="003318EB">
        <w:rPr>
          <w:rFonts w:asciiTheme="minorHAnsi" w:hAnsiTheme="minorHAnsi" w:cstheme="minorHAnsi"/>
          <w:sz w:val="16"/>
          <w:szCs w:val="16"/>
          <w:shd w:val="clear" w:color="auto" w:fill="FFFFFF"/>
        </w:rPr>
        <w:t xml:space="preserve"> KH, </w:t>
      </w:r>
      <w:proofErr w:type="spellStart"/>
      <w:r w:rsidRPr="003318EB">
        <w:rPr>
          <w:rFonts w:asciiTheme="minorHAnsi" w:hAnsiTheme="minorHAnsi" w:cstheme="minorHAnsi"/>
          <w:sz w:val="16"/>
          <w:szCs w:val="16"/>
          <w:shd w:val="clear" w:color="auto" w:fill="FFFFFF"/>
        </w:rPr>
        <w:t>Kuperan</w:t>
      </w:r>
      <w:proofErr w:type="spellEnd"/>
      <w:r w:rsidRPr="003318EB">
        <w:rPr>
          <w:rFonts w:asciiTheme="minorHAnsi" w:hAnsiTheme="minorHAnsi" w:cstheme="minorHAnsi"/>
          <w:sz w:val="16"/>
          <w:szCs w:val="16"/>
          <w:shd w:val="clear" w:color="auto" w:fill="FFFFFF"/>
        </w:rPr>
        <w:t xml:space="preserve"> P.</w:t>
      </w:r>
      <w:r w:rsidR="003318EB" w:rsidRPr="003318EB">
        <w:rPr>
          <w:rFonts w:asciiTheme="minorHAnsi" w:hAnsiTheme="minorHAnsi" w:cstheme="minorHAnsi"/>
          <w:sz w:val="16"/>
          <w:szCs w:val="16"/>
          <w:shd w:val="clear" w:color="auto" w:fill="FFFFFF"/>
        </w:rPr>
        <w:t xml:space="preserve"> (2020)</w:t>
      </w:r>
      <w:r w:rsidRPr="003318EB">
        <w:rPr>
          <w:rFonts w:asciiTheme="minorHAnsi" w:hAnsiTheme="minorHAnsi" w:cstheme="minorHAnsi"/>
          <w:sz w:val="16"/>
          <w:szCs w:val="16"/>
          <w:shd w:val="clear" w:color="auto" w:fill="FFFFFF"/>
        </w:rPr>
        <w:t xml:space="preserve"> Reactive lymphocytes in patients with COVID-19. Br J </w:t>
      </w:r>
      <w:proofErr w:type="spellStart"/>
      <w:r w:rsidRPr="003318EB">
        <w:rPr>
          <w:rFonts w:asciiTheme="minorHAnsi" w:hAnsiTheme="minorHAnsi" w:cstheme="minorHAnsi"/>
          <w:sz w:val="16"/>
          <w:szCs w:val="16"/>
          <w:shd w:val="clear" w:color="auto" w:fill="FFFFFF"/>
        </w:rPr>
        <w:t>Haematol</w:t>
      </w:r>
      <w:proofErr w:type="spellEnd"/>
      <w:r w:rsidRPr="003318EB">
        <w:rPr>
          <w:rFonts w:asciiTheme="minorHAnsi" w:hAnsiTheme="minorHAnsi" w:cstheme="minorHAnsi"/>
          <w:sz w:val="16"/>
          <w:szCs w:val="16"/>
          <w:shd w:val="clear" w:color="auto" w:fill="FFFFFF"/>
        </w:rPr>
        <w:t xml:space="preserve">. Jun;189(5):844. </w:t>
      </w:r>
      <w:proofErr w:type="spellStart"/>
      <w:r w:rsidRPr="003318EB">
        <w:rPr>
          <w:rFonts w:asciiTheme="minorHAnsi" w:hAnsiTheme="minorHAnsi" w:cstheme="minorHAnsi"/>
          <w:sz w:val="16"/>
          <w:szCs w:val="16"/>
          <w:shd w:val="clear" w:color="auto" w:fill="FFFFFF"/>
        </w:rPr>
        <w:t>doi</w:t>
      </w:r>
      <w:proofErr w:type="spellEnd"/>
      <w:r w:rsidRPr="003318EB">
        <w:rPr>
          <w:rFonts w:asciiTheme="minorHAnsi" w:hAnsiTheme="minorHAnsi" w:cstheme="minorHAnsi"/>
          <w:sz w:val="16"/>
          <w:szCs w:val="16"/>
          <w:shd w:val="clear" w:color="auto" w:fill="FFFFFF"/>
        </w:rPr>
        <w:t xml:space="preserve">: 10.1111/bjh.16690. </w:t>
      </w:r>
      <w:proofErr w:type="spellStart"/>
      <w:r w:rsidRPr="003318EB">
        <w:rPr>
          <w:rFonts w:asciiTheme="minorHAnsi" w:hAnsiTheme="minorHAnsi" w:cstheme="minorHAnsi"/>
          <w:sz w:val="16"/>
          <w:szCs w:val="16"/>
          <w:shd w:val="clear" w:color="auto" w:fill="FFFFFF"/>
        </w:rPr>
        <w:t>Epub</w:t>
      </w:r>
      <w:proofErr w:type="spellEnd"/>
      <w:r w:rsidRPr="003318EB">
        <w:rPr>
          <w:rFonts w:asciiTheme="minorHAnsi" w:hAnsiTheme="minorHAnsi" w:cstheme="minorHAnsi"/>
          <w:sz w:val="16"/>
          <w:szCs w:val="16"/>
          <w:shd w:val="clear" w:color="auto" w:fill="FFFFFF"/>
        </w:rPr>
        <w:t xml:space="preserve"> 2020 May 5. PMID: 32297330; PMCID: PMC7262365.</w:t>
      </w:r>
    </w:p>
    <w:p w:rsidR="0092380B" w:rsidRPr="003318EB" w:rsidRDefault="0092380B" w:rsidP="0092380B">
      <w:pPr>
        <w:pStyle w:val="Paragrafoelenco"/>
        <w:numPr>
          <w:ilvl w:val="0"/>
          <w:numId w:val="3"/>
        </w:numPr>
        <w:tabs>
          <w:tab w:val="left" w:pos="384"/>
        </w:tabs>
        <w:spacing w:line="216" w:lineRule="exact"/>
        <w:ind w:right="138"/>
        <w:rPr>
          <w:rFonts w:asciiTheme="minorHAnsi" w:hAnsiTheme="minorHAnsi" w:cstheme="minorHAnsi"/>
          <w:sz w:val="16"/>
          <w:szCs w:val="16"/>
        </w:rPr>
      </w:pPr>
      <w:r w:rsidRPr="003318EB">
        <w:rPr>
          <w:rFonts w:asciiTheme="minorHAnsi" w:hAnsiTheme="minorHAnsi" w:cstheme="minorHAnsi"/>
          <w:sz w:val="16"/>
          <w:szCs w:val="16"/>
        </w:rPr>
        <w:t xml:space="preserve">Weinberg SE, </w:t>
      </w:r>
      <w:proofErr w:type="spellStart"/>
      <w:r w:rsidRPr="003318EB">
        <w:rPr>
          <w:rFonts w:asciiTheme="minorHAnsi" w:hAnsiTheme="minorHAnsi" w:cstheme="minorHAnsi"/>
          <w:sz w:val="16"/>
          <w:szCs w:val="16"/>
        </w:rPr>
        <w:t>Behdad</w:t>
      </w:r>
      <w:proofErr w:type="spellEnd"/>
      <w:r w:rsidRPr="003318EB">
        <w:rPr>
          <w:rFonts w:asciiTheme="minorHAnsi" w:hAnsiTheme="minorHAnsi" w:cstheme="minorHAnsi"/>
          <w:sz w:val="16"/>
          <w:szCs w:val="16"/>
        </w:rPr>
        <w:t xml:space="preserve"> A, </w:t>
      </w:r>
      <w:proofErr w:type="spellStart"/>
      <w:r w:rsidRPr="003318EB">
        <w:rPr>
          <w:rFonts w:asciiTheme="minorHAnsi" w:hAnsiTheme="minorHAnsi" w:cstheme="minorHAnsi"/>
          <w:sz w:val="16"/>
          <w:szCs w:val="16"/>
        </w:rPr>
        <w:t>Ji</w:t>
      </w:r>
      <w:proofErr w:type="spellEnd"/>
      <w:r w:rsidRPr="003318EB">
        <w:rPr>
          <w:rFonts w:asciiTheme="minorHAnsi" w:hAnsiTheme="minorHAnsi" w:cstheme="minorHAnsi"/>
          <w:sz w:val="16"/>
          <w:szCs w:val="16"/>
        </w:rPr>
        <w:t xml:space="preserve"> P.</w:t>
      </w:r>
      <w:r w:rsidR="003318EB" w:rsidRPr="003318EB">
        <w:rPr>
          <w:rFonts w:asciiTheme="minorHAnsi" w:hAnsiTheme="minorHAnsi" w:cstheme="minorHAnsi"/>
          <w:sz w:val="16"/>
          <w:szCs w:val="16"/>
        </w:rPr>
        <w:t xml:space="preserve"> (2020), </w:t>
      </w:r>
      <w:r w:rsidRPr="003318EB">
        <w:rPr>
          <w:rFonts w:asciiTheme="minorHAnsi" w:hAnsiTheme="minorHAnsi" w:cstheme="minorHAnsi"/>
          <w:sz w:val="16"/>
          <w:szCs w:val="16"/>
        </w:rPr>
        <w:t xml:space="preserve"> Atypical lymphocytes in peripheral blood of patients with COVID-19. Br J </w:t>
      </w:r>
      <w:proofErr w:type="spellStart"/>
      <w:r w:rsidRPr="003318EB">
        <w:rPr>
          <w:rFonts w:asciiTheme="minorHAnsi" w:hAnsiTheme="minorHAnsi" w:cstheme="minorHAnsi"/>
          <w:sz w:val="16"/>
          <w:szCs w:val="16"/>
        </w:rPr>
        <w:t>Haematol</w:t>
      </w:r>
      <w:proofErr w:type="spellEnd"/>
      <w:r w:rsidRPr="003318EB">
        <w:rPr>
          <w:rFonts w:asciiTheme="minorHAnsi" w:hAnsiTheme="minorHAnsi" w:cstheme="minorHAnsi"/>
          <w:sz w:val="16"/>
          <w:szCs w:val="16"/>
        </w:rPr>
        <w:t xml:space="preserve">. Jul;190(1):36-39. </w:t>
      </w:r>
      <w:proofErr w:type="spellStart"/>
      <w:r w:rsidRPr="003318EB">
        <w:rPr>
          <w:rFonts w:asciiTheme="minorHAnsi" w:hAnsiTheme="minorHAnsi" w:cstheme="minorHAnsi"/>
          <w:sz w:val="16"/>
          <w:szCs w:val="16"/>
        </w:rPr>
        <w:t>doi</w:t>
      </w:r>
      <w:proofErr w:type="spellEnd"/>
      <w:r w:rsidRPr="003318EB">
        <w:rPr>
          <w:rFonts w:asciiTheme="minorHAnsi" w:hAnsiTheme="minorHAnsi" w:cstheme="minorHAnsi"/>
          <w:sz w:val="16"/>
          <w:szCs w:val="16"/>
        </w:rPr>
        <w:t xml:space="preserve">: 10.1111/bjh.16848. </w:t>
      </w:r>
      <w:proofErr w:type="spellStart"/>
      <w:r w:rsidRPr="003318EB">
        <w:rPr>
          <w:rFonts w:asciiTheme="minorHAnsi" w:hAnsiTheme="minorHAnsi" w:cstheme="minorHAnsi"/>
          <w:sz w:val="16"/>
          <w:szCs w:val="16"/>
        </w:rPr>
        <w:t>Epub</w:t>
      </w:r>
      <w:proofErr w:type="spellEnd"/>
      <w:r w:rsidRPr="003318EB">
        <w:rPr>
          <w:rFonts w:asciiTheme="minorHAnsi" w:hAnsiTheme="minorHAnsi" w:cstheme="minorHAnsi"/>
          <w:sz w:val="16"/>
          <w:szCs w:val="16"/>
        </w:rPr>
        <w:t xml:space="preserve"> 2020 Jun 2. PMID: 32420613; PMCID: PMC7276903</w:t>
      </w:r>
    </w:p>
    <w:p w:rsidR="0092380B" w:rsidRPr="003318EB" w:rsidRDefault="0092380B" w:rsidP="0092380B">
      <w:pPr>
        <w:pStyle w:val="Paragrafoelenco"/>
        <w:numPr>
          <w:ilvl w:val="0"/>
          <w:numId w:val="3"/>
        </w:numPr>
        <w:tabs>
          <w:tab w:val="left" w:pos="384"/>
        </w:tabs>
        <w:spacing w:before="92" w:line="218" w:lineRule="exact"/>
        <w:rPr>
          <w:rFonts w:asciiTheme="minorHAnsi" w:hAnsiTheme="minorHAnsi" w:cstheme="minorHAnsi"/>
          <w:sz w:val="16"/>
          <w:szCs w:val="16"/>
        </w:rPr>
      </w:pPr>
      <w:proofErr w:type="spellStart"/>
      <w:r w:rsidRPr="003318EB">
        <w:rPr>
          <w:rFonts w:asciiTheme="minorHAnsi" w:hAnsiTheme="minorHAnsi" w:cstheme="minorHAnsi"/>
          <w:sz w:val="16"/>
          <w:szCs w:val="16"/>
        </w:rPr>
        <w:t>HaghjooyJavanmard</w:t>
      </w:r>
      <w:proofErr w:type="spellEnd"/>
      <w:r w:rsidRPr="003318EB">
        <w:rPr>
          <w:rFonts w:asciiTheme="minorHAnsi" w:hAnsiTheme="minorHAnsi" w:cstheme="minorHAnsi"/>
          <w:sz w:val="16"/>
          <w:szCs w:val="16"/>
        </w:rPr>
        <w:t xml:space="preserve"> S, </w:t>
      </w:r>
      <w:proofErr w:type="spellStart"/>
      <w:r w:rsidRPr="003318EB">
        <w:rPr>
          <w:rFonts w:asciiTheme="minorHAnsi" w:hAnsiTheme="minorHAnsi" w:cstheme="minorHAnsi"/>
          <w:sz w:val="16"/>
          <w:szCs w:val="16"/>
        </w:rPr>
        <w:t>Vaseghi</w:t>
      </w:r>
      <w:proofErr w:type="spellEnd"/>
      <w:r w:rsidRPr="003318EB">
        <w:rPr>
          <w:rFonts w:asciiTheme="minorHAnsi" w:hAnsiTheme="minorHAnsi" w:cstheme="minorHAnsi"/>
          <w:sz w:val="16"/>
          <w:szCs w:val="16"/>
        </w:rPr>
        <w:t xml:space="preserve"> G, </w:t>
      </w:r>
      <w:proofErr w:type="spellStart"/>
      <w:r w:rsidRPr="003318EB">
        <w:rPr>
          <w:rFonts w:asciiTheme="minorHAnsi" w:hAnsiTheme="minorHAnsi" w:cstheme="minorHAnsi"/>
          <w:sz w:val="16"/>
          <w:szCs w:val="16"/>
        </w:rPr>
        <w:t>Manteghinejad</w:t>
      </w:r>
      <w:proofErr w:type="spellEnd"/>
      <w:r w:rsidRPr="003318EB">
        <w:rPr>
          <w:rFonts w:asciiTheme="minorHAnsi" w:hAnsiTheme="minorHAnsi" w:cstheme="minorHAnsi"/>
          <w:sz w:val="16"/>
          <w:szCs w:val="16"/>
        </w:rPr>
        <w:t xml:space="preserve"> A, </w:t>
      </w:r>
      <w:proofErr w:type="spellStart"/>
      <w:r w:rsidRPr="003318EB">
        <w:rPr>
          <w:rFonts w:asciiTheme="minorHAnsi" w:hAnsiTheme="minorHAnsi" w:cstheme="minorHAnsi"/>
          <w:sz w:val="16"/>
          <w:szCs w:val="16"/>
        </w:rPr>
        <w:t>Nasirian</w:t>
      </w:r>
      <w:proofErr w:type="spellEnd"/>
      <w:r w:rsidRPr="003318EB">
        <w:rPr>
          <w:rFonts w:asciiTheme="minorHAnsi" w:hAnsiTheme="minorHAnsi" w:cstheme="minorHAnsi"/>
          <w:sz w:val="16"/>
          <w:szCs w:val="16"/>
        </w:rPr>
        <w:t xml:space="preserve"> M.</w:t>
      </w:r>
      <w:r w:rsidR="003318EB" w:rsidRPr="003318EB">
        <w:rPr>
          <w:rFonts w:asciiTheme="minorHAnsi" w:hAnsiTheme="minorHAnsi" w:cstheme="minorHAnsi"/>
          <w:sz w:val="16"/>
          <w:szCs w:val="16"/>
        </w:rPr>
        <w:t xml:space="preserve"> (2020) </w:t>
      </w:r>
      <w:r w:rsidRPr="003318EB">
        <w:rPr>
          <w:rFonts w:asciiTheme="minorHAnsi" w:hAnsiTheme="minorHAnsi" w:cstheme="minorHAnsi"/>
          <w:sz w:val="16"/>
          <w:szCs w:val="16"/>
        </w:rPr>
        <w:t xml:space="preserve"> </w:t>
      </w:r>
      <w:proofErr w:type="spellStart"/>
      <w:r w:rsidRPr="003318EB">
        <w:rPr>
          <w:rFonts w:asciiTheme="minorHAnsi" w:hAnsiTheme="minorHAnsi" w:cstheme="minorHAnsi"/>
          <w:sz w:val="16"/>
          <w:szCs w:val="16"/>
        </w:rPr>
        <w:t>Neutrophil</w:t>
      </w:r>
      <w:proofErr w:type="spellEnd"/>
      <w:r w:rsidRPr="003318EB">
        <w:rPr>
          <w:rFonts w:asciiTheme="minorHAnsi" w:hAnsiTheme="minorHAnsi" w:cstheme="minorHAnsi"/>
          <w:sz w:val="16"/>
          <w:szCs w:val="16"/>
        </w:rPr>
        <w:t xml:space="preserve">-to-Lymphocyte ratio as a potential biomarker for disease severity in COVID-19 patients. J Glob </w:t>
      </w:r>
      <w:proofErr w:type="spellStart"/>
      <w:r w:rsidRPr="003318EB">
        <w:rPr>
          <w:rFonts w:asciiTheme="minorHAnsi" w:hAnsiTheme="minorHAnsi" w:cstheme="minorHAnsi"/>
          <w:sz w:val="16"/>
          <w:szCs w:val="16"/>
        </w:rPr>
        <w:t>Antimicrob</w:t>
      </w:r>
      <w:proofErr w:type="spellEnd"/>
      <w:r w:rsidRPr="003318EB">
        <w:rPr>
          <w:rFonts w:asciiTheme="minorHAnsi" w:hAnsiTheme="minorHAnsi" w:cstheme="minorHAnsi"/>
          <w:sz w:val="16"/>
          <w:szCs w:val="16"/>
        </w:rPr>
        <w:t xml:space="preserve"> Resist. 2020 Sep;22:862-863. </w:t>
      </w:r>
      <w:proofErr w:type="spellStart"/>
      <w:r w:rsidRPr="003318EB">
        <w:rPr>
          <w:rFonts w:asciiTheme="minorHAnsi" w:hAnsiTheme="minorHAnsi" w:cstheme="minorHAnsi"/>
          <w:sz w:val="16"/>
          <w:szCs w:val="16"/>
        </w:rPr>
        <w:t>doi</w:t>
      </w:r>
      <w:proofErr w:type="spellEnd"/>
      <w:r w:rsidRPr="003318EB">
        <w:rPr>
          <w:rFonts w:asciiTheme="minorHAnsi" w:hAnsiTheme="minorHAnsi" w:cstheme="minorHAnsi"/>
          <w:sz w:val="16"/>
          <w:szCs w:val="16"/>
        </w:rPr>
        <w:t xml:space="preserve">: 10.1016/j.jgar.2020.07.029. </w:t>
      </w:r>
      <w:proofErr w:type="spellStart"/>
      <w:r w:rsidRPr="003318EB">
        <w:rPr>
          <w:rFonts w:asciiTheme="minorHAnsi" w:hAnsiTheme="minorHAnsi" w:cstheme="minorHAnsi"/>
          <w:sz w:val="16"/>
          <w:szCs w:val="16"/>
        </w:rPr>
        <w:t>Epub</w:t>
      </w:r>
      <w:proofErr w:type="spellEnd"/>
      <w:r w:rsidRPr="003318EB">
        <w:rPr>
          <w:rFonts w:asciiTheme="minorHAnsi" w:hAnsiTheme="minorHAnsi" w:cstheme="minorHAnsi"/>
          <w:sz w:val="16"/>
          <w:szCs w:val="16"/>
        </w:rPr>
        <w:t xml:space="preserve"> 2020 Aug 15. PMID: 32810639; PMCID: PMC7428697.</w:t>
      </w:r>
    </w:p>
    <w:p w:rsidR="00FB65C7" w:rsidRPr="003318EB" w:rsidRDefault="00FB65C7" w:rsidP="0092380B">
      <w:pPr>
        <w:pStyle w:val="Paragrafoelenco"/>
        <w:numPr>
          <w:ilvl w:val="0"/>
          <w:numId w:val="3"/>
        </w:numPr>
        <w:tabs>
          <w:tab w:val="left" w:pos="384"/>
        </w:tabs>
        <w:spacing w:before="92" w:line="218" w:lineRule="exact"/>
        <w:rPr>
          <w:rFonts w:asciiTheme="minorHAnsi" w:hAnsiTheme="minorHAnsi" w:cstheme="minorHAnsi"/>
          <w:sz w:val="16"/>
          <w:szCs w:val="16"/>
        </w:rPr>
      </w:pPr>
      <w:r w:rsidRPr="003318EB">
        <w:rPr>
          <w:rFonts w:asciiTheme="minorHAnsi" w:hAnsiTheme="minorHAnsi" w:cstheme="minorHAnsi"/>
          <w:sz w:val="16"/>
          <w:szCs w:val="16"/>
          <w:shd w:val="clear" w:color="auto" w:fill="FFFFFF"/>
        </w:rPr>
        <w:t xml:space="preserve">El Jamal, S. M., </w:t>
      </w:r>
      <w:proofErr w:type="spellStart"/>
      <w:r w:rsidRPr="003318EB">
        <w:rPr>
          <w:rFonts w:asciiTheme="minorHAnsi" w:hAnsiTheme="minorHAnsi" w:cstheme="minorHAnsi"/>
          <w:sz w:val="16"/>
          <w:szCs w:val="16"/>
          <w:shd w:val="clear" w:color="auto" w:fill="FFFFFF"/>
        </w:rPr>
        <w:t>Salib</w:t>
      </w:r>
      <w:proofErr w:type="spellEnd"/>
      <w:r w:rsidRPr="003318EB">
        <w:rPr>
          <w:rFonts w:asciiTheme="minorHAnsi" w:hAnsiTheme="minorHAnsi" w:cstheme="minorHAnsi"/>
          <w:sz w:val="16"/>
          <w:szCs w:val="16"/>
          <w:shd w:val="clear" w:color="auto" w:fill="FFFFFF"/>
        </w:rPr>
        <w:t xml:space="preserve">, C., Stock, A., </w:t>
      </w:r>
      <w:proofErr w:type="spellStart"/>
      <w:r w:rsidRPr="003318EB">
        <w:rPr>
          <w:rFonts w:asciiTheme="minorHAnsi" w:hAnsiTheme="minorHAnsi" w:cstheme="minorHAnsi"/>
          <w:sz w:val="16"/>
          <w:szCs w:val="16"/>
          <w:shd w:val="clear" w:color="auto" w:fill="FFFFFF"/>
        </w:rPr>
        <w:t>Uriarte-Haparnas</w:t>
      </w:r>
      <w:proofErr w:type="spellEnd"/>
      <w:r w:rsidRPr="003318EB">
        <w:rPr>
          <w:rFonts w:asciiTheme="minorHAnsi" w:hAnsiTheme="minorHAnsi" w:cstheme="minorHAnsi"/>
          <w:sz w:val="16"/>
          <w:szCs w:val="16"/>
          <w:shd w:val="clear" w:color="auto" w:fill="FFFFFF"/>
        </w:rPr>
        <w:t xml:space="preserve">, N. I., </w:t>
      </w:r>
      <w:proofErr w:type="spellStart"/>
      <w:r w:rsidRPr="003318EB">
        <w:rPr>
          <w:rFonts w:asciiTheme="minorHAnsi" w:hAnsiTheme="minorHAnsi" w:cstheme="minorHAnsi"/>
          <w:sz w:val="16"/>
          <w:szCs w:val="16"/>
          <w:shd w:val="clear" w:color="auto" w:fill="FFFFFF"/>
        </w:rPr>
        <w:t>Glicksberg</w:t>
      </w:r>
      <w:proofErr w:type="spellEnd"/>
      <w:r w:rsidRPr="003318EB">
        <w:rPr>
          <w:rFonts w:asciiTheme="minorHAnsi" w:hAnsiTheme="minorHAnsi" w:cstheme="minorHAnsi"/>
          <w:sz w:val="16"/>
          <w:szCs w:val="16"/>
          <w:shd w:val="clear" w:color="auto" w:fill="FFFFFF"/>
        </w:rPr>
        <w:t xml:space="preserve">, B. S., </w:t>
      </w:r>
      <w:proofErr w:type="spellStart"/>
      <w:r w:rsidRPr="003318EB">
        <w:rPr>
          <w:rFonts w:asciiTheme="minorHAnsi" w:hAnsiTheme="minorHAnsi" w:cstheme="minorHAnsi"/>
          <w:sz w:val="16"/>
          <w:szCs w:val="16"/>
          <w:shd w:val="clear" w:color="auto" w:fill="FFFFFF"/>
        </w:rPr>
        <w:t>Teruya</w:t>
      </w:r>
      <w:proofErr w:type="spellEnd"/>
      <w:r w:rsidRPr="003318EB">
        <w:rPr>
          <w:rFonts w:asciiTheme="minorHAnsi" w:hAnsiTheme="minorHAnsi" w:cstheme="minorHAnsi"/>
          <w:sz w:val="16"/>
          <w:szCs w:val="16"/>
          <w:shd w:val="clear" w:color="auto" w:fill="FFFFFF"/>
        </w:rPr>
        <w:t xml:space="preserve">-Feldstein, J., </w:t>
      </w:r>
      <w:proofErr w:type="spellStart"/>
      <w:r w:rsidRPr="003318EB">
        <w:rPr>
          <w:rFonts w:asciiTheme="minorHAnsi" w:hAnsiTheme="minorHAnsi" w:cstheme="minorHAnsi"/>
          <w:sz w:val="16"/>
          <w:szCs w:val="16"/>
          <w:shd w:val="clear" w:color="auto" w:fill="FFFFFF"/>
        </w:rPr>
        <w:t>Dembitzer</w:t>
      </w:r>
      <w:proofErr w:type="spellEnd"/>
      <w:r w:rsidRPr="003318EB">
        <w:rPr>
          <w:rFonts w:asciiTheme="minorHAnsi" w:hAnsiTheme="minorHAnsi" w:cstheme="minorHAnsi"/>
          <w:sz w:val="16"/>
          <w:szCs w:val="16"/>
          <w:shd w:val="clear" w:color="auto" w:fill="FFFFFF"/>
        </w:rPr>
        <w:t xml:space="preserve">, F. R., </w:t>
      </w:r>
      <w:proofErr w:type="spellStart"/>
      <w:r w:rsidRPr="003318EB">
        <w:rPr>
          <w:rFonts w:asciiTheme="minorHAnsi" w:hAnsiTheme="minorHAnsi" w:cstheme="minorHAnsi"/>
          <w:sz w:val="16"/>
          <w:szCs w:val="16"/>
          <w:shd w:val="clear" w:color="auto" w:fill="FFFFFF"/>
        </w:rPr>
        <w:t>Nadkarni</w:t>
      </w:r>
      <w:proofErr w:type="spellEnd"/>
      <w:r w:rsidRPr="003318EB">
        <w:rPr>
          <w:rFonts w:asciiTheme="minorHAnsi" w:hAnsiTheme="minorHAnsi" w:cstheme="minorHAnsi"/>
          <w:sz w:val="16"/>
          <w:szCs w:val="16"/>
          <w:shd w:val="clear" w:color="auto" w:fill="FFFFFF"/>
        </w:rPr>
        <w:t xml:space="preserve">, G. N., &amp; </w:t>
      </w:r>
      <w:proofErr w:type="spellStart"/>
      <w:r w:rsidRPr="003318EB">
        <w:rPr>
          <w:rFonts w:asciiTheme="minorHAnsi" w:hAnsiTheme="minorHAnsi" w:cstheme="minorHAnsi"/>
          <w:sz w:val="16"/>
          <w:szCs w:val="16"/>
          <w:shd w:val="clear" w:color="auto" w:fill="FFFFFF"/>
        </w:rPr>
        <w:t>Firpo</w:t>
      </w:r>
      <w:proofErr w:type="spellEnd"/>
      <w:r w:rsidRPr="003318EB">
        <w:rPr>
          <w:rFonts w:asciiTheme="minorHAnsi" w:hAnsiTheme="minorHAnsi" w:cstheme="minorHAnsi"/>
          <w:sz w:val="16"/>
          <w:szCs w:val="16"/>
          <w:shd w:val="clear" w:color="auto" w:fill="FFFFFF"/>
        </w:rPr>
        <w:t>-Betancourt, A. (2020). Atypical lymphocyte morphology in SARS-CoV-2 infection. </w:t>
      </w:r>
      <w:r w:rsidRPr="003318EB">
        <w:rPr>
          <w:rFonts w:asciiTheme="minorHAnsi" w:hAnsiTheme="minorHAnsi" w:cstheme="minorHAnsi"/>
          <w:i/>
          <w:iCs/>
          <w:sz w:val="16"/>
          <w:szCs w:val="16"/>
          <w:shd w:val="clear" w:color="auto" w:fill="FFFFFF"/>
        </w:rPr>
        <w:t>Pathology, research and practice</w:t>
      </w:r>
      <w:r w:rsidRPr="003318EB">
        <w:rPr>
          <w:rFonts w:asciiTheme="minorHAnsi" w:hAnsiTheme="minorHAnsi" w:cstheme="minorHAnsi"/>
          <w:sz w:val="16"/>
          <w:szCs w:val="16"/>
          <w:shd w:val="clear" w:color="auto" w:fill="FFFFFF"/>
        </w:rPr>
        <w:t>, </w:t>
      </w:r>
      <w:r w:rsidRPr="003318EB">
        <w:rPr>
          <w:rFonts w:asciiTheme="minorHAnsi" w:hAnsiTheme="minorHAnsi" w:cstheme="minorHAnsi"/>
          <w:i/>
          <w:iCs/>
          <w:sz w:val="16"/>
          <w:szCs w:val="16"/>
          <w:shd w:val="clear" w:color="auto" w:fill="FFFFFF"/>
        </w:rPr>
        <w:t>216</w:t>
      </w:r>
      <w:r w:rsidRPr="003318EB">
        <w:rPr>
          <w:rFonts w:asciiTheme="minorHAnsi" w:hAnsiTheme="minorHAnsi" w:cstheme="minorHAnsi"/>
          <w:sz w:val="16"/>
          <w:szCs w:val="16"/>
          <w:shd w:val="clear" w:color="auto" w:fill="FFFFFF"/>
        </w:rPr>
        <w:t>(9), 153063. https://doi.org/10.1016/j.prp.2020.153063</w:t>
      </w:r>
    </w:p>
    <w:p w:rsidR="005973B9" w:rsidRPr="003318EB" w:rsidRDefault="005973B9" w:rsidP="005973B9">
      <w:pPr>
        <w:pStyle w:val="Corpodeltesto"/>
        <w:spacing w:before="85" w:line="216" w:lineRule="exact"/>
        <w:ind w:left="383" w:right="138" w:hanging="284"/>
        <w:jc w:val="both"/>
        <w:rPr>
          <w:rFonts w:ascii="Calibri" w:hAnsi="Calibri"/>
          <w:sz w:val="16"/>
          <w:szCs w:val="16"/>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Corpodeltesto"/>
        <w:rPr>
          <w:rFonts w:ascii="Calibri"/>
          <w:sz w:val="20"/>
        </w:rPr>
      </w:pPr>
    </w:p>
    <w:p w:rsidR="00AE3E37" w:rsidRDefault="001A723E">
      <w:pPr>
        <w:pStyle w:val="Corpodeltesto"/>
        <w:spacing w:line="40" w:lineRule="exact"/>
        <w:ind w:left="2202"/>
        <w:rPr>
          <w:rFonts w:ascii="Calibri"/>
          <w:sz w:val="4"/>
        </w:rPr>
      </w:pPr>
      <w:r>
        <w:rPr>
          <w:rFonts w:ascii="Calibri"/>
          <w:noProof/>
          <w:sz w:val="4"/>
          <w:lang w:val="it-IT" w:eastAsia="it-IT"/>
        </w:rPr>
      </w:r>
      <w:r w:rsidRPr="001A723E">
        <w:rPr>
          <w:rFonts w:ascii="Calibri"/>
          <w:noProof/>
          <w:sz w:val="4"/>
          <w:lang w:val="it-IT" w:eastAsia="it-IT"/>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473E5" w:rsidRDefault="001A723E" w:rsidP="00404E5B">
      <w:pPr>
        <w:spacing w:before="92"/>
        <w:ind w:right="4234"/>
        <w:rPr>
          <w:rFonts w:ascii="Arial"/>
          <w:color w:val="BF5A14"/>
        </w:rPr>
      </w:pPr>
      <w:r w:rsidRPr="001A723E">
        <w:rPr>
          <w:rFonts w:ascii="Times New Roman" w:hAnsi="Times New Roman" w:cs="Times New Roman"/>
          <w:noProof/>
          <w:sz w:val="24"/>
          <w:szCs w:val="24"/>
          <w:lang w:val="it-IT" w:eastAsia="it-IT"/>
        </w:rPr>
        <w:pict>
          <v:roundrect id="Rounded Rectangle 2" o:spid="_x0000_s1029" style="position:absolute;margin-left:436.5pt;margin-top:4.45pt;width:88.55pt;height:56.1pt;z-index:25166028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18520B" w:rsidP="0018520B">
                  <w:pPr>
                    <w:jc w:val="center"/>
                    <w:rPr>
                      <w:b/>
                      <w:color w:val="0000FF"/>
                      <w:lang w:val="en-IN"/>
                    </w:rPr>
                  </w:pPr>
                  <w:r>
                    <w:rPr>
                      <w:b/>
                      <w:noProof/>
                      <w:color w:val="0000FF"/>
                      <w:lang w:val="it-IT" w:eastAsia="it-IT"/>
                    </w:rPr>
                    <w:drawing>
                      <wp:inline distT="0" distB="0" distL="0" distR="0">
                        <wp:extent cx="419100" cy="527050"/>
                        <wp:effectExtent l="1905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19100" cy="527050"/>
                                </a:xfrm>
                                <a:prstGeom prst="rect">
                                  <a:avLst/>
                                </a:prstGeom>
                                <a:noFill/>
                                <a:ln w="9525">
                                  <a:noFill/>
                                  <a:miter lim="800000"/>
                                  <a:headEnd/>
                                  <a:tailEnd/>
                                </a:ln>
                              </pic:spPr>
                            </pic:pic>
                          </a:graphicData>
                        </a:graphic>
                      </wp:inline>
                    </w:drawing>
                  </w:r>
                </w:p>
              </w:txbxContent>
            </v:textbox>
          </v:roundrect>
        </w:pict>
      </w:r>
      <w:r w:rsidR="006A4DDD">
        <w:rPr>
          <w:rFonts w:ascii="Arial"/>
          <w:noProof/>
          <w:color w:val="BF5A14"/>
          <w:lang w:val="it-IT" w:eastAsia="it-IT"/>
        </w:rPr>
        <w:drawing>
          <wp:inline distT="0" distB="0" distL="0" distR="0">
            <wp:extent cx="539750" cy="539750"/>
            <wp:effectExtent l="19050" t="0" r="0" b="0"/>
            <wp:docPr id="8" name="Immagine 7" descr="ba708c58fcf2dc50eae7986cd40f2b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708c58fcf2dc50eae7986cd40f2b57.jpeg"/>
                    <pic:cNvPicPr/>
                  </pic:nvPicPr>
                  <pic:blipFill>
                    <a:blip r:embed="rId13" cstate="print"/>
                    <a:stretch>
                      <a:fillRect/>
                    </a:stretch>
                  </pic:blipFill>
                  <pic:spPr>
                    <a:xfrm>
                      <a:off x="0" y="0"/>
                      <a:ext cx="539750" cy="539750"/>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65BBB" w:rsidRPr="00A65BBB" w:rsidRDefault="00A65BBB" w:rsidP="00A65BBB">
      <w:pPr>
        <w:spacing w:before="62"/>
        <w:ind w:right="58"/>
        <w:jc w:val="both"/>
        <w:rPr>
          <w:rFonts w:ascii="Arial"/>
          <w:sz w:val="14"/>
        </w:rPr>
      </w:pPr>
      <w:r w:rsidRPr="00A65BBB">
        <w:rPr>
          <w:rFonts w:ascii="Arial"/>
          <w:sz w:val="14"/>
        </w:rPr>
        <w:t xml:space="preserve">Arturo </w:t>
      </w:r>
      <w:proofErr w:type="spellStart"/>
      <w:r w:rsidRPr="00A65BBB">
        <w:rPr>
          <w:rFonts w:ascii="Arial"/>
          <w:sz w:val="14"/>
        </w:rPr>
        <w:t>Armone</w:t>
      </w:r>
      <w:proofErr w:type="spellEnd"/>
      <w:r w:rsidRPr="00A65BBB">
        <w:rPr>
          <w:rFonts w:ascii="Arial"/>
          <w:sz w:val="14"/>
        </w:rPr>
        <w:t xml:space="preserve"> Caruso is an otolaryngologist specialist and is the Health Director of the AIAS (Italian Association of Disadvantaged Assistance) of </w:t>
      </w:r>
      <w:proofErr w:type="spellStart"/>
      <w:r w:rsidRPr="00A65BBB">
        <w:rPr>
          <w:rFonts w:ascii="Arial"/>
          <w:sz w:val="14"/>
        </w:rPr>
        <w:t>Afragola</w:t>
      </w:r>
      <w:proofErr w:type="spellEnd"/>
      <w:r w:rsidRPr="00A65BBB">
        <w:rPr>
          <w:rFonts w:ascii="Arial"/>
          <w:sz w:val="14"/>
        </w:rPr>
        <w:t xml:space="preserve">. He has also obtained a </w:t>
      </w:r>
      <w:proofErr w:type="spellStart"/>
      <w:r w:rsidRPr="00A65BBB">
        <w:rPr>
          <w:rFonts w:ascii="Arial"/>
          <w:sz w:val="14"/>
        </w:rPr>
        <w:t>Phd</w:t>
      </w:r>
      <w:proofErr w:type="spellEnd"/>
      <w:r w:rsidRPr="00A65BBB">
        <w:rPr>
          <w:rFonts w:ascii="Arial"/>
          <w:sz w:val="14"/>
        </w:rPr>
        <w:t xml:space="preserve"> in "</w:t>
      </w:r>
      <w:proofErr w:type="spellStart"/>
      <w:r w:rsidRPr="00A65BBB">
        <w:rPr>
          <w:rFonts w:ascii="Arial"/>
          <w:sz w:val="14"/>
        </w:rPr>
        <w:t>Cytosmetabolism</w:t>
      </w:r>
      <w:proofErr w:type="spellEnd"/>
      <w:r w:rsidRPr="00A65BBB">
        <w:rPr>
          <w:rFonts w:ascii="Arial"/>
          <w:sz w:val="14"/>
        </w:rPr>
        <w:t xml:space="preserve"> of drugs and applied morphology" For many years he has been interested in the study of nasal mucosa.  His research ranges from allergies to some </w:t>
      </w:r>
      <w:proofErr w:type="spellStart"/>
      <w:r w:rsidRPr="00A65BBB">
        <w:rPr>
          <w:rFonts w:ascii="Arial"/>
          <w:sz w:val="14"/>
        </w:rPr>
        <w:t>oncological</w:t>
      </w:r>
      <w:proofErr w:type="spellEnd"/>
      <w:r w:rsidRPr="00A65BBB">
        <w:rPr>
          <w:rFonts w:ascii="Arial"/>
          <w:sz w:val="14"/>
        </w:rPr>
        <w:t xml:space="preserve"> aspects of the upper airways and digestive tract. On the occasion of the COVID pandemic, he carried out a series of studies aimed at both the prevention and implementation of a therapy of this disease. In particular, the study, together with other colleagues, addressed the possibility of using hydrogen peroxide, obtaining encouraging results and still being developed. He is also interested in rehabilitation paths as well as methodological research to improve the quality of life and consequently </w:t>
      </w:r>
      <w:proofErr w:type="spellStart"/>
      <w:r w:rsidRPr="00A65BBB">
        <w:rPr>
          <w:rFonts w:ascii="Arial"/>
          <w:sz w:val="14"/>
        </w:rPr>
        <w:t>behavioural</w:t>
      </w:r>
      <w:proofErr w:type="spellEnd"/>
      <w:r w:rsidRPr="00A65BBB">
        <w:rPr>
          <w:rFonts w:ascii="Arial"/>
          <w:sz w:val="14"/>
        </w:rPr>
        <w:t xml:space="preserve"> emotional health</w:t>
      </w:r>
    </w:p>
    <w:p w:rsidR="00AE3E37" w:rsidRPr="00145408" w:rsidRDefault="00A65BBB" w:rsidP="00A65BBB">
      <w:pPr>
        <w:spacing w:before="62"/>
        <w:ind w:right="58"/>
        <w:jc w:val="center"/>
        <w:rPr>
          <w:rFonts w:ascii="Arial"/>
          <w:sz w:val="14"/>
        </w:rPr>
      </w:pPr>
      <w:r w:rsidRPr="00A65BBB">
        <w:rPr>
          <w:rFonts w:ascii="Arial"/>
          <w:sz w:val="14"/>
        </w:rPr>
        <w:t>Email: armocar@libero.it</w:t>
      </w:r>
    </w:p>
    <w:p w:rsidR="00AE3E37" w:rsidRPr="00145408" w:rsidRDefault="001A723E" w:rsidP="00A65BBB">
      <w:pPr>
        <w:pStyle w:val="Corpodeltesto"/>
        <w:spacing w:before="2"/>
        <w:ind w:right="58"/>
        <w:jc w:val="both"/>
        <w:rPr>
          <w:rFonts w:ascii="Arial"/>
          <w:sz w:val="19"/>
        </w:rPr>
      </w:pPr>
      <w:r w:rsidRPr="001A723E">
        <w:rPr>
          <w:noProof/>
          <w:lang w:val="it-IT" w:eastAsia="it-IT"/>
        </w:rPr>
        <w:pict>
          <v:line id="Line 3" o:spid="_x0000_s1028"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145408" w:rsidRDefault="00AE3E37">
      <w:pPr>
        <w:pStyle w:val="Corpodeltesto"/>
        <w:rPr>
          <w:rFonts w:ascii="Arial"/>
          <w:sz w:val="20"/>
        </w:rPr>
      </w:pPr>
    </w:p>
    <w:p w:rsidR="00AE3E37" w:rsidRPr="00145408" w:rsidRDefault="00AE3E37">
      <w:pPr>
        <w:pStyle w:val="Corpodeltesto"/>
        <w:rPr>
          <w:rFonts w:ascii="Arial"/>
          <w:sz w:val="20"/>
        </w:rPr>
      </w:pPr>
    </w:p>
    <w:p w:rsidR="00FB65C7" w:rsidRPr="00145408" w:rsidRDefault="00FB65C7">
      <w:pPr>
        <w:pStyle w:val="Corpodeltesto"/>
        <w:rPr>
          <w:rFonts w:ascii="Arial"/>
          <w:sz w:val="20"/>
        </w:rPr>
      </w:pPr>
    </w:p>
    <w:p w:rsidR="00AE3E37" w:rsidRPr="00145408" w:rsidRDefault="00AE3E37">
      <w:pPr>
        <w:pStyle w:val="Corpodeltesto"/>
        <w:spacing w:before="7"/>
        <w:rPr>
          <w:rFonts w:ascii="Arial"/>
          <w:sz w:val="29"/>
        </w:rPr>
      </w:pPr>
    </w:p>
    <w:p w:rsidR="00AE3E37" w:rsidRPr="0018520B" w:rsidRDefault="003318EB" w:rsidP="003318EB">
      <w:pPr>
        <w:spacing w:before="39"/>
        <w:ind w:left="100"/>
        <w:rPr>
          <w:rFonts w:ascii="Minion Pro"/>
          <w:b/>
          <w:sz w:val="20"/>
        </w:rPr>
      </w:pPr>
      <w:r w:rsidRPr="0018520B">
        <w:rPr>
          <w:rFonts w:ascii="Minion Pro"/>
          <w:b/>
          <w:sz w:val="20"/>
        </w:rPr>
        <w:t>Notes/Comments</w:t>
      </w:r>
    </w:p>
    <w:p w:rsidR="003318EB" w:rsidRPr="0018520B" w:rsidRDefault="003318EB" w:rsidP="003318EB">
      <w:pPr>
        <w:spacing w:before="39"/>
        <w:ind w:left="100"/>
        <w:rPr>
          <w:rFonts w:ascii="Minion Pro"/>
          <w:b/>
          <w:sz w:val="20"/>
        </w:rPr>
      </w:pPr>
    </w:p>
    <w:p w:rsidR="003318EB" w:rsidRPr="0018520B" w:rsidRDefault="003318EB" w:rsidP="003318EB">
      <w:pPr>
        <w:spacing w:before="39"/>
        <w:ind w:left="100"/>
        <w:rPr>
          <w:rFonts w:ascii="Minion Pro"/>
          <w:b/>
          <w:sz w:val="20"/>
        </w:rPr>
      </w:pPr>
    </w:p>
    <w:p w:rsidR="003318EB" w:rsidRPr="0018520B" w:rsidRDefault="003318EB" w:rsidP="003318EB">
      <w:pPr>
        <w:spacing w:before="39"/>
        <w:ind w:left="100"/>
        <w:rPr>
          <w:rFonts w:ascii="Minion Pro"/>
          <w:b/>
          <w:sz w:val="20"/>
        </w:rPr>
      </w:pPr>
    </w:p>
    <w:p w:rsidR="003318EB" w:rsidRPr="0018520B" w:rsidRDefault="003318EB" w:rsidP="003318EB">
      <w:pPr>
        <w:spacing w:before="39"/>
        <w:ind w:left="100"/>
        <w:rPr>
          <w:rFonts w:ascii="Minion Pro"/>
          <w:b/>
          <w:sz w:val="20"/>
        </w:rPr>
      </w:pPr>
    </w:p>
    <w:p w:rsidR="003318EB" w:rsidRPr="0018520B" w:rsidRDefault="003318EB" w:rsidP="003318EB">
      <w:pPr>
        <w:spacing w:before="39"/>
        <w:ind w:left="100"/>
        <w:rPr>
          <w:rFonts w:ascii="Minion Pro"/>
          <w:b/>
          <w:sz w:val="20"/>
        </w:rPr>
      </w:pPr>
    </w:p>
    <w:p w:rsidR="003318EB" w:rsidRPr="0018520B" w:rsidRDefault="003318EB" w:rsidP="003318EB">
      <w:pPr>
        <w:jc w:val="both"/>
        <w:rPr>
          <w:b/>
        </w:rPr>
      </w:pPr>
      <w:r w:rsidRPr="0018520B">
        <w:rPr>
          <w:b/>
        </w:rPr>
        <w:t xml:space="preserve">Presenting author details </w:t>
      </w:r>
    </w:p>
    <w:p w:rsidR="003318EB" w:rsidRPr="0013708E" w:rsidRDefault="003318EB" w:rsidP="003318EB">
      <w:pPr>
        <w:jc w:val="both"/>
      </w:pPr>
      <w:r w:rsidRPr="00145408">
        <w:t>Full n</w:t>
      </w:r>
      <w:r w:rsidRPr="0013708E">
        <w:t xml:space="preserve">ame: </w:t>
      </w:r>
      <w:r w:rsidR="00A65BBB">
        <w:t xml:space="preserve">Arturo </w:t>
      </w:r>
      <w:proofErr w:type="spellStart"/>
      <w:r w:rsidR="00A65BBB">
        <w:t>Armone</w:t>
      </w:r>
      <w:proofErr w:type="spellEnd"/>
      <w:r w:rsidR="00A65BBB">
        <w:t xml:space="preserve"> Caruso</w:t>
      </w:r>
    </w:p>
    <w:p w:rsidR="003318EB" w:rsidRDefault="003318EB" w:rsidP="003318EB">
      <w:pPr>
        <w:jc w:val="both"/>
      </w:pPr>
      <w:r w:rsidRPr="0013708E">
        <w:t>Contact number:</w:t>
      </w:r>
      <w:r w:rsidR="00A65BBB">
        <w:t xml:space="preserve"> +393396069421</w:t>
      </w:r>
    </w:p>
    <w:p w:rsidR="003318EB" w:rsidRPr="0013708E" w:rsidRDefault="003318EB" w:rsidP="003318EB">
      <w:pPr>
        <w:jc w:val="both"/>
      </w:pPr>
      <w:r>
        <w:t xml:space="preserve">Mail id: </w:t>
      </w:r>
      <w:r w:rsidR="00A65BBB">
        <w:t>armocar@libero.it</w:t>
      </w:r>
    </w:p>
    <w:p w:rsidR="003318EB" w:rsidRDefault="00A65BBB" w:rsidP="003318EB">
      <w:pPr>
        <w:jc w:val="both"/>
      </w:pPr>
      <w:r>
        <w:t xml:space="preserve">Category: </w:t>
      </w:r>
      <w:r w:rsidR="003318EB" w:rsidRPr="0013708E">
        <w:t>Oral presentation</w:t>
      </w:r>
    </w:p>
    <w:p w:rsidR="003318EB" w:rsidRDefault="003318EB" w:rsidP="003318EB">
      <w:pPr>
        <w:pStyle w:val="Corpodeltesto"/>
        <w:spacing w:before="3"/>
        <w:rPr>
          <w:rFonts w:ascii="Minion Pro"/>
          <w:sz w:val="26"/>
        </w:rPr>
      </w:pPr>
    </w:p>
    <w:p w:rsidR="003318EB" w:rsidRPr="003318EB" w:rsidRDefault="003318EB" w:rsidP="003318EB">
      <w:pPr>
        <w:spacing w:before="39"/>
        <w:ind w:left="100"/>
        <w:rPr>
          <w:rFonts w:ascii="Minion Pro"/>
          <w:b/>
          <w:sz w:val="20"/>
        </w:rPr>
        <w:sectPr w:rsidR="003318EB" w:rsidRPr="003318EB" w:rsidSect="008E5477">
          <w:type w:val="continuous"/>
          <w:pgSz w:w="11910" w:h="16840"/>
          <w:pgMar w:top="995" w:right="600" w:bottom="840" w:left="620" w:header="720" w:footer="720" w:gutter="0"/>
          <w:cols w:space="720"/>
        </w:sectPr>
      </w:pPr>
    </w:p>
    <w:p w:rsidR="00AE3E37" w:rsidRDefault="00AE3E37" w:rsidP="003318EB">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A7E" w:rsidRDefault="00CC1A7E">
      <w:r>
        <w:separator/>
      </w:r>
    </w:p>
  </w:endnote>
  <w:endnote w:type="continuationSeparator" w:id="1">
    <w:p w:rsidR="00CC1A7E" w:rsidRDefault="00CC1A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723E">
    <w:pPr>
      <w:pStyle w:val="Corpodeltesto"/>
      <w:spacing w:line="14" w:lineRule="auto"/>
      <w:rPr>
        <w:sz w:val="20"/>
      </w:rPr>
    </w:pPr>
    <w:r w:rsidRPr="001A723E">
      <w:rPr>
        <w:noProof/>
        <w:lang w:val="it-IT" w:eastAsia="it-IT"/>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A723E">
      <w:rPr>
        <w:noProof/>
        <w:lang w:val="it-IT" w:eastAsia="it-IT"/>
      </w:rPr>
      <w:pict>
        <v:shape id="Text Box 2" o:spid="_x0000_s614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A723E">
      <w:rPr>
        <w:noProof/>
        <w:lang w:val="it-IT" w:eastAsia="it-IT"/>
      </w:rPr>
      <w:pict>
        <v:shape id="Text Box 1" o:spid="_x0000_s614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A7E" w:rsidRDefault="00CC1A7E">
      <w:r>
        <w:separator/>
      </w:r>
    </w:p>
  </w:footnote>
  <w:footnote w:type="continuationSeparator" w:id="1">
    <w:p w:rsidR="00CC1A7E" w:rsidRDefault="00CC1A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283"/>
  <w:drawingGridHorizontalSpacing w:val="110"/>
  <w:displayHorizontalDrawingGridEvery w:val="2"/>
  <w:characterSpacingControl w:val="doNotCompress"/>
  <w:hdrShapeDefaults>
    <o:shapedefaults v:ext="edit" spidmax="6149"/>
    <o:shapelayout v:ext="edit">
      <o:idmap v:ext="edit" data="6"/>
    </o:shapelayout>
  </w:hdrShapeDefaults>
  <w:footnotePr>
    <w:footnote w:id="0"/>
    <w:footnote w:id="1"/>
  </w:footnotePr>
  <w:endnotePr>
    <w:endnote w:id="0"/>
    <w:endnote w:id="1"/>
  </w:endnotePr>
  <w:compat>
    <w:ulTrailSpace/>
  </w:compat>
  <w:rsids>
    <w:rsidRoot w:val="00AE3E37"/>
    <w:rsid w:val="0006284F"/>
    <w:rsid w:val="000E2911"/>
    <w:rsid w:val="001263DF"/>
    <w:rsid w:val="00145408"/>
    <w:rsid w:val="0018520B"/>
    <w:rsid w:val="001A723E"/>
    <w:rsid w:val="001F44B9"/>
    <w:rsid w:val="002004FB"/>
    <w:rsid w:val="002554AF"/>
    <w:rsid w:val="00286EE3"/>
    <w:rsid w:val="00292ED9"/>
    <w:rsid w:val="002F28FA"/>
    <w:rsid w:val="003318EB"/>
    <w:rsid w:val="00351D9B"/>
    <w:rsid w:val="0036051B"/>
    <w:rsid w:val="00380299"/>
    <w:rsid w:val="00404E5B"/>
    <w:rsid w:val="0041115D"/>
    <w:rsid w:val="00414F7B"/>
    <w:rsid w:val="0042379B"/>
    <w:rsid w:val="004355DC"/>
    <w:rsid w:val="00436341"/>
    <w:rsid w:val="004749B4"/>
    <w:rsid w:val="00494130"/>
    <w:rsid w:val="004F3523"/>
    <w:rsid w:val="005973B9"/>
    <w:rsid w:val="005B3A56"/>
    <w:rsid w:val="006060CE"/>
    <w:rsid w:val="0061505C"/>
    <w:rsid w:val="006336E8"/>
    <w:rsid w:val="0063497F"/>
    <w:rsid w:val="006513D5"/>
    <w:rsid w:val="006654AF"/>
    <w:rsid w:val="006A4DDD"/>
    <w:rsid w:val="006C3A03"/>
    <w:rsid w:val="006F1DC5"/>
    <w:rsid w:val="00714354"/>
    <w:rsid w:val="00873DF0"/>
    <w:rsid w:val="008756E6"/>
    <w:rsid w:val="00897EC5"/>
    <w:rsid w:val="008E5477"/>
    <w:rsid w:val="0092380B"/>
    <w:rsid w:val="00972FD2"/>
    <w:rsid w:val="009B2D44"/>
    <w:rsid w:val="009B7A10"/>
    <w:rsid w:val="009C443E"/>
    <w:rsid w:val="00A07E82"/>
    <w:rsid w:val="00A2060A"/>
    <w:rsid w:val="00A52075"/>
    <w:rsid w:val="00A65BBB"/>
    <w:rsid w:val="00A9710C"/>
    <w:rsid w:val="00AE3E37"/>
    <w:rsid w:val="00AF0A36"/>
    <w:rsid w:val="00B21A57"/>
    <w:rsid w:val="00B473E5"/>
    <w:rsid w:val="00BA09F8"/>
    <w:rsid w:val="00C074EF"/>
    <w:rsid w:val="00C33602"/>
    <w:rsid w:val="00C56C74"/>
    <w:rsid w:val="00C658BE"/>
    <w:rsid w:val="00C92F61"/>
    <w:rsid w:val="00CC1A7E"/>
    <w:rsid w:val="00CD6F55"/>
    <w:rsid w:val="00DB2C9C"/>
    <w:rsid w:val="00DE3104"/>
    <w:rsid w:val="00DE6170"/>
    <w:rsid w:val="00E30AAC"/>
    <w:rsid w:val="00E64170"/>
    <w:rsid w:val="00E95D97"/>
    <w:rsid w:val="00EE6B18"/>
    <w:rsid w:val="00F046EA"/>
    <w:rsid w:val="00F20066"/>
    <w:rsid w:val="00F36D86"/>
    <w:rsid w:val="00F72EEA"/>
    <w:rsid w:val="00F84CAE"/>
    <w:rsid w:val="00FA41DE"/>
    <w:rsid w:val="00FB65C7"/>
    <w:rsid w:val="00FC20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deltestoCarattere">
    <w:name w:val="Corpo del testo Carattere"/>
    <w:basedOn w:val="Carpredefinitoparagrafo"/>
    <w:link w:val="Corpodeltesto"/>
    <w:uiPriority w:val="1"/>
    <w:rsid w:val="005973B9"/>
    <w:rPr>
      <w:rFonts w:ascii="Tw Cen MT" w:eastAsia="Tw Cen MT" w:hAnsi="Tw Cen MT" w:cs="Tw Cen MT"/>
      <w:sz w:val="18"/>
      <w:szCs w:val="18"/>
    </w:rPr>
  </w:style>
  <w:style w:type="paragraph" w:styleId="Didascalia">
    <w:name w:val="caption"/>
    <w:basedOn w:val="Normale"/>
    <w:next w:val="Normale"/>
    <w:uiPriority w:val="35"/>
    <w:unhideWhenUsed/>
    <w:qFormat/>
    <w:rsid w:val="00A2060A"/>
    <w:pPr>
      <w:spacing w:after="200"/>
    </w:pPr>
    <w:rPr>
      <w:b/>
      <w:bCs/>
      <w:color w:val="4F81BD" w:themeColor="accent1"/>
      <w:sz w:val="18"/>
      <w:szCs w:val="18"/>
    </w:rPr>
  </w:style>
  <w:style w:type="table" w:styleId="Grigliatabella">
    <w:name w:val="Table Grid"/>
    <w:basedOn w:val="Tabellanormale"/>
    <w:uiPriority w:val="59"/>
    <w:rsid w:val="006336E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FF89E-757C-44C2-A5A4-7B4BF059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769</Words>
  <Characters>4385</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CG</cp:lastModifiedBy>
  <cp:revision>20</cp:revision>
  <dcterms:created xsi:type="dcterms:W3CDTF">2021-09-01T08:42:00Z</dcterms:created>
  <dcterms:modified xsi:type="dcterms:W3CDTF">2021-09-02T09:24:00Z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