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78774" w14:textId="77777777" w:rsidR="008869B5" w:rsidRPr="00DD1319" w:rsidRDefault="008869B5" w:rsidP="008869B5">
      <w:pPr>
        <w:jc w:val="both"/>
        <w:rPr>
          <w:rFonts w:ascii="Arial" w:eastAsia="Times New Roman" w:hAnsi="Arial" w:cs="Arial"/>
          <w:b/>
          <w:bCs/>
          <w:color w:val="000000"/>
          <w:sz w:val="24"/>
          <w:szCs w:val="24"/>
        </w:rPr>
      </w:pPr>
      <w:r w:rsidRPr="00DD1319">
        <w:rPr>
          <w:rFonts w:ascii="Arial" w:eastAsia="Times New Roman" w:hAnsi="Arial" w:cs="Arial"/>
          <w:b/>
          <w:bCs/>
          <w:color w:val="000000"/>
          <w:sz w:val="24"/>
          <w:szCs w:val="24"/>
        </w:rPr>
        <w:t>Role of the mobile laboratory in the response to the COVID-19 pandemic in Timbuktu, Mali.</w:t>
      </w:r>
    </w:p>
    <w:p w14:paraId="2A243CDE" w14:textId="77777777" w:rsidR="008869B5" w:rsidRPr="00E16D1A" w:rsidRDefault="008869B5" w:rsidP="008869B5">
      <w:pPr>
        <w:jc w:val="both"/>
        <w:rPr>
          <w:rFonts w:ascii="Arial" w:eastAsia="Times New Roman" w:hAnsi="Arial" w:cs="Arial"/>
          <w:color w:val="000000"/>
          <w:sz w:val="24"/>
          <w:szCs w:val="24"/>
        </w:rPr>
      </w:pPr>
      <w:proofErr w:type="spellStart"/>
      <w:r w:rsidRPr="00E16D1A">
        <w:rPr>
          <w:rFonts w:ascii="Arial" w:eastAsia="Times New Roman" w:hAnsi="Arial" w:cs="Arial"/>
          <w:color w:val="000000"/>
          <w:sz w:val="24"/>
          <w:szCs w:val="24"/>
        </w:rPr>
        <w:t>Bourèma</w:t>
      </w:r>
      <w:proofErr w:type="spellEnd"/>
      <w:r w:rsidRPr="00E16D1A">
        <w:rPr>
          <w:rFonts w:ascii="Arial" w:eastAsia="Times New Roman" w:hAnsi="Arial" w:cs="Arial"/>
          <w:color w:val="000000"/>
          <w:sz w:val="24"/>
          <w:szCs w:val="24"/>
        </w:rPr>
        <w:t xml:space="preserve"> Kouriba</w:t>
      </w:r>
      <w:r w:rsidRPr="00B64A94">
        <w:rPr>
          <w:rFonts w:ascii="Arial" w:eastAsia="Times New Roman" w:hAnsi="Arial" w:cs="Arial"/>
          <w:color w:val="000000"/>
          <w:sz w:val="24"/>
          <w:szCs w:val="24"/>
          <w:vertAlign w:val="superscript"/>
        </w:rPr>
        <w:t>1</w:t>
      </w:r>
      <w:r w:rsidRPr="00E16D1A">
        <w:rPr>
          <w:rFonts w:ascii="Arial" w:eastAsia="Times New Roman" w:hAnsi="Arial" w:cs="Arial"/>
          <w:color w:val="000000"/>
          <w:sz w:val="24"/>
          <w:szCs w:val="24"/>
        </w:rPr>
        <w:t>, Abdoul Karim Sangaré</w:t>
      </w:r>
      <w:r w:rsidRPr="00B64A94">
        <w:rPr>
          <w:rFonts w:ascii="Arial" w:eastAsia="Times New Roman" w:hAnsi="Arial" w:cs="Arial"/>
          <w:color w:val="000000"/>
          <w:sz w:val="24"/>
          <w:szCs w:val="24"/>
          <w:vertAlign w:val="superscript"/>
        </w:rPr>
        <w:t>1</w:t>
      </w:r>
      <w:r w:rsidRPr="00E16D1A">
        <w:rPr>
          <w:rFonts w:ascii="Arial" w:eastAsia="Times New Roman" w:hAnsi="Arial" w:cs="Arial"/>
          <w:color w:val="000000"/>
          <w:sz w:val="24"/>
          <w:szCs w:val="24"/>
        </w:rPr>
        <w:t>, Bréhima Traore</w:t>
      </w:r>
      <w:r w:rsidRPr="00B64A94">
        <w:rPr>
          <w:rFonts w:ascii="Arial" w:eastAsia="Times New Roman" w:hAnsi="Arial" w:cs="Arial"/>
          <w:color w:val="000000"/>
          <w:sz w:val="24"/>
          <w:szCs w:val="24"/>
          <w:vertAlign w:val="superscript"/>
        </w:rPr>
        <w:t>1</w:t>
      </w:r>
      <w:r w:rsidRPr="00E16D1A">
        <w:rPr>
          <w:rFonts w:ascii="Arial" w:eastAsia="Times New Roman" w:hAnsi="Arial" w:cs="Arial"/>
          <w:color w:val="000000"/>
          <w:sz w:val="24"/>
          <w:szCs w:val="24"/>
        </w:rPr>
        <w:t>, Elisabeth Sogodogo</w:t>
      </w:r>
      <w:r w:rsidRPr="00B64A94">
        <w:rPr>
          <w:rFonts w:ascii="Arial" w:eastAsia="Times New Roman" w:hAnsi="Arial" w:cs="Arial"/>
          <w:color w:val="000000"/>
          <w:sz w:val="24"/>
          <w:szCs w:val="24"/>
          <w:vertAlign w:val="superscript"/>
        </w:rPr>
        <w:t>1</w:t>
      </w:r>
      <w:r w:rsidRPr="00E16D1A">
        <w:rPr>
          <w:rFonts w:ascii="Arial" w:eastAsia="Times New Roman" w:hAnsi="Arial" w:cs="Arial"/>
          <w:color w:val="000000"/>
          <w:sz w:val="24"/>
          <w:szCs w:val="24"/>
        </w:rPr>
        <w:t>, Judicael Ouedraogo</w:t>
      </w:r>
      <w:r w:rsidRPr="00B64A94">
        <w:rPr>
          <w:rFonts w:ascii="Arial" w:eastAsia="Times New Roman" w:hAnsi="Arial" w:cs="Arial"/>
          <w:color w:val="000000"/>
          <w:sz w:val="24"/>
          <w:szCs w:val="24"/>
          <w:vertAlign w:val="superscript"/>
        </w:rPr>
        <w:t>1</w:t>
      </w:r>
      <w:r w:rsidRPr="00E16D1A">
        <w:rPr>
          <w:rFonts w:ascii="Arial" w:eastAsia="Times New Roman" w:hAnsi="Arial" w:cs="Arial"/>
          <w:color w:val="000000"/>
          <w:sz w:val="24"/>
          <w:szCs w:val="24"/>
        </w:rPr>
        <w:t>, Abderrhamane Maiga</w:t>
      </w:r>
      <w:r w:rsidRPr="00B64A94">
        <w:rPr>
          <w:rFonts w:ascii="Arial" w:eastAsia="Times New Roman" w:hAnsi="Arial" w:cs="Arial"/>
          <w:color w:val="000000"/>
          <w:sz w:val="24"/>
          <w:szCs w:val="24"/>
          <w:vertAlign w:val="superscript"/>
        </w:rPr>
        <w:t>1</w:t>
      </w:r>
      <w:r w:rsidRPr="00E16D1A">
        <w:rPr>
          <w:rFonts w:ascii="Arial" w:eastAsia="Times New Roman" w:hAnsi="Arial" w:cs="Arial"/>
          <w:color w:val="000000"/>
          <w:sz w:val="24"/>
          <w:szCs w:val="24"/>
        </w:rPr>
        <w:t>, Charles Dara</w:t>
      </w:r>
      <w:r w:rsidRPr="00B64A94">
        <w:rPr>
          <w:rFonts w:ascii="Arial" w:eastAsia="Times New Roman" w:hAnsi="Arial" w:cs="Arial"/>
          <w:color w:val="000000"/>
          <w:sz w:val="24"/>
          <w:szCs w:val="24"/>
          <w:vertAlign w:val="superscript"/>
        </w:rPr>
        <w:t>2</w:t>
      </w:r>
      <w:r w:rsidRPr="00E16D1A">
        <w:rPr>
          <w:rFonts w:ascii="Arial" w:eastAsia="Times New Roman" w:hAnsi="Arial" w:cs="Arial"/>
          <w:color w:val="000000"/>
          <w:sz w:val="24"/>
          <w:szCs w:val="24"/>
        </w:rPr>
        <w:t xml:space="preserve">, </w:t>
      </w:r>
      <w:proofErr w:type="spellStart"/>
      <w:r w:rsidRPr="00E16D1A">
        <w:rPr>
          <w:rFonts w:ascii="Arial" w:eastAsia="Times New Roman" w:hAnsi="Arial" w:cs="Arial"/>
          <w:color w:val="000000"/>
          <w:sz w:val="24"/>
          <w:szCs w:val="24"/>
        </w:rPr>
        <w:t>Zoumana</w:t>
      </w:r>
      <w:proofErr w:type="spellEnd"/>
      <w:r w:rsidRPr="00E16D1A">
        <w:rPr>
          <w:rFonts w:ascii="Arial" w:eastAsia="Times New Roman" w:hAnsi="Arial" w:cs="Arial"/>
          <w:color w:val="000000"/>
          <w:sz w:val="24"/>
          <w:szCs w:val="24"/>
        </w:rPr>
        <w:t xml:space="preserve"> Doumbia</w:t>
      </w:r>
      <w:r w:rsidRPr="00B64A94">
        <w:rPr>
          <w:rFonts w:ascii="Arial" w:eastAsia="Times New Roman" w:hAnsi="Arial" w:cs="Arial"/>
          <w:color w:val="000000"/>
          <w:sz w:val="24"/>
          <w:szCs w:val="24"/>
          <w:vertAlign w:val="superscript"/>
        </w:rPr>
        <w:t>3</w:t>
      </w:r>
      <w:r w:rsidRPr="00E16D1A">
        <w:rPr>
          <w:rFonts w:ascii="Arial" w:eastAsia="Times New Roman" w:hAnsi="Arial" w:cs="Arial"/>
          <w:color w:val="000000"/>
          <w:sz w:val="24"/>
          <w:szCs w:val="24"/>
        </w:rPr>
        <w:t xml:space="preserve"> and Djibril Kassogué</w:t>
      </w:r>
      <w:r w:rsidRPr="00B64A94">
        <w:rPr>
          <w:rFonts w:ascii="Arial" w:eastAsia="Times New Roman" w:hAnsi="Arial" w:cs="Arial"/>
          <w:color w:val="000000"/>
          <w:sz w:val="24"/>
          <w:szCs w:val="24"/>
          <w:vertAlign w:val="superscript"/>
        </w:rPr>
        <w:t>2</w:t>
      </w:r>
    </w:p>
    <w:p w14:paraId="69DABFB5" w14:textId="6A55778A" w:rsidR="008869B5" w:rsidRPr="00E16D1A" w:rsidRDefault="00AA402E" w:rsidP="008869B5">
      <w:pPr>
        <w:jc w:val="both"/>
        <w:rPr>
          <w:rFonts w:ascii="Arial" w:eastAsia="Times New Roman" w:hAnsi="Arial" w:cs="Arial"/>
          <w:color w:val="000000"/>
          <w:sz w:val="24"/>
          <w:szCs w:val="24"/>
          <w:lang w:val="fr-FR"/>
        </w:rPr>
      </w:pPr>
      <w:r w:rsidRPr="00E16D1A">
        <w:rPr>
          <w:rFonts w:ascii="Arial" w:hAnsi="Arial" w:cs="Arial"/>
          <w:sz w:val="24"/>
          <w:szCs w:val="24"/>
          <w:vertAlign w:val="superscript"/>
          <w:lang w:val="fr-FR"/>
        </w:rPr>
        <w:t>1</w:t>
      </w:r>
      <w:r w:rsidRPr="00E16D1A">
        <w:rPr>
          <w:rFonts w:ascii="Arial" w:hAnsi="Arial" w:cs="Arial"/>
          <w:sz w:val="24"/>
          <w:szCs w:val="24"/>
          <w:lang w:val="fr-FR"/>
        </w:rPr>
        <w:t xml:space="preserve">Centre d’Infectiologie Charles Mérieux-Mali, rue du Dr Charles Mérieux, </w:t>
      </w:r>
      <w:proofErr w:type="spellStart"/>
      <w:r w:rsidRPr="00E16D1A">
        <w:rPr>
          <w:rFonts w:ascii="Arial" w:hAnsi="Arial" w:cs="Arial"/>
          <w:sz w:val="24"/>
          <w:szCs w:val="24"/>
          <w:lang w:val="fr-FR"/>
        </w:rPr>
        <w:t>Bolibana</w:t>
      </w:r>
      <w:proofErr w:type="spellEnd"/>
      <w:r w:rsidRPr="00E16D1A">
        <w:rPr>
          <w:rFonts w:ascii="Arial" w:hAnsi="Arial" w:cs="Arial"/>
          <w:sz w:val="24"/>
          <w:szCs w:val="24"/>
          <w:lang w:val="fr-FR"/>
        </w:rPr>
        <w:t>, Bamako ;</w:t>
      </w:r>
      <w:r w:rsidRPr="00E16D1A">
        <w:rPr>
          <w:rFonts w:ascii="Arial" w:eastAsia="Times New Roman" w:hAnsi="Arial" w:cs="Arial"/>
          <w:color w:val="000000"/>
          <w:sz w:val="24"/>
          <w:szCs w:val="24"/>
          <w:lang w:val="fr-FR"/>
        </w:rPr>
        <w:t xml:space="preserve"> </w:t>
      </w:r>
      <w:r w:rsidR="008869B5" w:rsidRPr="00E16D1A">
        <w:rPr>
          <w:rFonts w:ascii="Arial" w:eastAsia="Times New Roman" w:hAnsi="Arial" w:cs="Arial"/>
          <w:color w:val="000000"/>
          <w:sz w:val="24"/>
          <w:szCs w:val="24"/>
          <w:vertAlign w:val="superscript"/>
          <w:lang w:val="fr-FR"/>
        </w:rPr>
        <w:t>2</w:t>
      </w:r>
      <w:r w:rsidRPr="00E16D1A">
        <w:rPr>
          <w:rFonts w:ascii="Arial" w:eastAsia="Times New Roman" w:hAnsi="Arial" w:cs="Arial"/>
          <w:color w:val="000000"/>
          <w:sz w:val="24"/>
          <w:szCs w:val="24"/>
          <w:lang w:val="fr-FR"/>
        </w:rPr>
        <w:t>Timbuktu</w:t>
      </w:r>
      <w:r w:rsidR="008869B5" w:rsidRPr="00E16D1A">
        <w:rPr>
          <w:rFonts w:ascii="Arial" w:eastAsia="Times New Roman" w:hAnsi="Arial" w:cs="Arial"/>
          <w:color w:val="000000"/>
          <w:sz w:val="24"/>
          <w:szCs w:val="24"/>
          <w:lang w:val="fr-FR"/>
        </w:rPr>
        <w:t xml:space="preserve"> Hospital</w:t>
      </w:r>
      <w:r w:rsidRPr="00E16D1A">
        <w:rPr>
          <w:rFonts w:ascii="Arial" w:eastAsia="Times New Roman" w:hAnsi="Arial" w:cs="Arial"/>
          <w:color w:val="000000"/>
          <w:sz w:val="24"/>
          <w:szCs w:val="24"/>
          <w:lang w:val="fr-FR"/>
        </w:rPr>
        <w:t> ;</w:t>
      </w:r>
      <w:r w:rsidR="008869B5" w:rsidRPr="00E16D1A">
        <w:rPr>
          <w:rFonts w:ascii="Arial" w:eastAsia="Times New Roman" w:hAnsi="Arial" w:cs="Arial"/>
          <w:color w:val="000000"/>
          <w:sz w:val="24"/>
          <w:szCs w:val="24"/>
          <w:lang w:val="fr-FR"/>
        </w:rPr>
        <w:t xml:space="preserve"> </w:t>
      </w:r>
      <w:r w:rsidR="008869B5" w:rsidRPr="00E16D1A">
        <w:rPr>
          <w:rFonts w:ascii="Arial" w:eastAsia="Times New Roman" w:hAnsi="Arial" w:cs="Arial"/>
          <w:color w:val="000000"/>
          <w:sz w:val="24"/>
          <w:szCs w:val="24"/>
          <w:vertAlign w:val="superscript"/>
          <w:lang w:val="fr-FR"/>
        </w:rPr>
        <w:t>3</w:t>
      </w:r>
      <w:r w:rsidR="008869B5" w:rsidRPr="00E16D1A">
        <w:rPr>
          <w:rFonts w:ascii="Arial" w:eastAsia="Times New Roman" w:hAnsi="Arial" w:cs="Arial"/>
          <w:color w:val="000000"/>
          <w:sz w:val="24"/>
          <w:szCs w:val="24"/>
          <w:lang w:val="fr-FR"/>
        </w:rPr>
        <w:t xml:space="preserve">Regional Health </w:t>
      </w:r>
      <w:proofErr w:type="spellStart"/>
      <w:r w:rsidR="008869B5" w:rsidRPr="00E16D1A">
        <w:rPr>
          <w:rFonts w:ascii="Arial" w:eastAsia="Times New Roman" w:hAnsi="Arial" w:cs="Arial"/>
          <w:color w:val="000000"/>
          <w:sz w:val="24"/>
          <w:szCs w:val="24"/>
          <w:lang w:val="fr-FR"/>
        </w:rPr>
        <w:t>Department</w:t>
      </w:r>
      <w:proofErr w:type="spellEnd"/>
      <w:r w:rsidR="008869B5" w:rsidRPr="00E16D1A">
        <w:rPr>
          <w:rFonts w:ascii="Arial" w:eastAsia="Times New Roman" w:hAnsi="Arial" w:cs="Arial"/>
          <w:color w:val="000000"/>
          <w:sz w:val="24"/>
          <w:szCs w:val="24"/>
          <w:lang w:val="fr-FR"/>
        </w:rPr>
        <w:t xml:space="preserve"> of </w:t>
      </w:r>
      <w:proofErr w:type="spellStart"/>
      <w:r w:rsidR="008869B5" w:rsidRPr="00E16D1A">
        <w:rPr>
          <w:rFonts w:ascii="Arial" w:eastAsia="Times New Roman" w:hAnsi="Arial" w:cs="Arial"/>
          <w:color w:val="000000"/>
          <w:sz w:val="24"/>
          <w:szCs w:val="24"/>
          <w:lang w:val="fr-FR"/>
        </w:rPr>
        <w:t>Timbuktu</w:t>
      </w:r>
      <w:proofErr w:type="spellEnd"/>
      <w:r w:rsidR="008869B5" w:rsidRPr="00E16D1A">
        <w:rPr>
          <w:rFonts w:ascii="Arial" w:eastAsia="Times New Roman" w:hAnsi="Arial" w:cs="Arial"/>
          <w:color w:val="000000"/>
          <w:sz w:val="24"/>
          <w:szCs w:val="24"/>
          <w:lang w:val="fr-FR"/>
        </w:rPr>
        <w:t>.</w:t>
      </w:r>
    </w:p>
    <w:p w14:paraId="07F96B22" w14:textId="77777777" w:rsidR="008869B5" w:rsidRPr="00AA402E" w:rsidRDefault="008869B5" w:rsidP="008869B5">
      <w:pPr>
        <w:jc w:val="both"/>
        <w:rPr>
          <w:rFonts w:ascii="Arial" w:eastAsia="Times New Roman" w:hAnsi="Arial" w:cs="Arial"/>
          <w:color w:val="000000"/>
          <w:lang w:val="fr-FR"/>
        </w:rPr>
      </w:pPr>
    </w:p>
    <w:p w14:paraId="5ED9D39C" w14:textId="78E5C3F5" w:rsidR="008869B5" w:rsidRPr="008869B5" w:rsidRDefault="008869B5" w:rsidP="008869B5">
      <w:pPr>
        <w:jc w:val="both"/>
        <w:rPr>
          <w:rFonts w:ascii="Arial" w:eastAsia="Times New Roman" w:hAnsi="Arial" w:cs="Arial"/>
          <w:color w:val="000000"/>
        </w:rPr>
      </w:pPr>
      <w:r w:rsidRPr="008869B5">
        <w:rPr>
          <w:rFonts w:ascii="Arial" w:eastAsia="Times New Roman" w:hAnsi="Arial" w:cs="Arial"/>
          <w:color w:val="000000"/>
        </w:rPr>
        <w:t xml:space="preserve">The covid-19 pandemic officially affected Mali on March 25, 2020. A traveler from France was diagnosed positive for SARS-CoV-2 by RT-qPCR. The epidemic rapidly evolved with intense community transmission. Surveillance was </w:t>
      </w:r>
      <w:r w:rsidR="00AA402E">
        <w:rPr>
          <w:rFonts w:ascii="Arial" w:eastAsia="Times New Roman" w:hAnsi="Arial" w:cs="Arial"/>
          <w:color w:val="000000"/>
        </w:rPr>
        <w:t>extend</w:t>
      </w:r>
      <w:r w:rsidRPr="008869B5">
        <w:rPr>
          <w:rFonts w:ascii="Arial" w:eastAsia="Times New Roman" w:hAnsi="Arial" w:cs="Arial"/>
          <w:color w:val="000000"/>
        </w:rPr>
        <w:t>ed throughout the territory with diagnostic difficulties which was provided by only 4 laboratories all located in Bamako, the capital</w:t>
      </w:r>
      <w:r w:rsidR="00AA402E">
        <w:rPr>
          <w:rFonts w:ascii="Arial" w:eastAsia="Times New Roman" w:hAnsi="Arial" w:cs="Arial"/>
          <w:color w:val="000000"/>
        </w:rPr>
        <w:t xml:space="preserve"> city</w:t>
      </w:r>
      <w:r w:rsidRPr="008869B5">
        <w:rPr>
          <w:rFonts w:ascii="Arial" w:eastAsia="Times New Roman" w:hAnsi="Arial" w:cs="Arial"/>
          <w:color w:val="000000"/>
        </w:rPr>
        <w:t xml:space="preserve"> of Mali. </w:t>
      </w:r>
      <w:r w:rsidR="00AA402E">
        <w:rPr>
          <w:rFonts w:ascii="Arial" w:eastAsia="Times New Roman" w:hAnsi="Arial" w:cs="Arial"/>
          <w:color w:val="000000"/>
        </w:rPr>
        <w:t>The country being vast</w:t>
      </w:r>
      <w:r w:rsidRPr="008869B5">
        <w:rPr>
          <w:rFonts w:ascii="Arial" w:eastAsia="Times New Roman" w:hAnsi="Arial" w:cs="Arial"/>
          <w:color w:val="000000"/>
        </w:rPr>
        <w:t xml:space="preserve">, difficulties in transporting samples (nasopharyngeal and oropharyngeal swabs) caused diagnostic delays. It is in this context that the epidemic particularly flared in the city of Timbuktu located in northern Mali more than 1000km from Bamako. </w:t>
      </w:r>
      <w:r w:rsidR="00AA402E">
        <w:rPr>
          <w:rFonts w:ascii="Arial" w:eastAsia="Times New Roman" w:hAnsi="Arial" w:cs="Arial"/>
          <w:color w:val="000000"/>
        </w:rPr>
        <w:t>To respond to</w:t>
      </w:r>
      <w:r w:rsidRPr="008869B5">
        <w:rPr>
          <w:rFonts w:ascii="Arial" w:eastAsia="Times New Roman" w:hAnsi="Arial" w:cs="Arial"/>
          <w:color w:val="000000"/>
        </w:rPr>
        <w:t xml:space="preserve"> this outbreak, the Ministry of Health of Mali had requested the deployment of the mobile laboratory in Timbuktu </w:t>
      </w:r>
      <w:r w:rsidR="00AA402E" w:rsidRPr="008869B5">
        <w:rPr>
          <w:rFonts w:ascii="Arial" w:eastAsia="Times New Roman" w:hAnsi="Arial" w:cs="Arial"/>
          <w:color w:val="000000"/>
        </w:rPr>
        <w:t>to</w:t>
      </w:r>
      <w:r w:rsidRPr="008869B5">
        <w:rPr>
          <w:rFonts w:ascii="Arial" w:eastAsia="Times New Roman" w:hAnsi="Arial" w:cs="Arial"/>
          <w:color w:val="000000"/>
        </w:rPr>
        <w:t xml:space="preserve"> allow on-site diagnosis. From May 29 to July 6, 2020, the intervention team of the Charles </w:t>
      </w:r>
      <w:proofErr w:type="spellStart"/>
      <w:r w:rsidRPr="008869B5">
        <w:rPr>
          <w:rFonts w:ascii="Arial" w:eastAsia="Times New Roman" w:hAnsi="Arial" w:cs="Arial"/>
          <w:color w:val="000000"/>
        </w:rPr>
        <w:t>Mérieux</w:t>
      </w:r>
      <w:proofErr w:type="spellEnd"/>
      <w:r w:rsidRPr="008869B5">
        <w:rPr>
          <w:rFonts w:ascii="Arial" w:eastAsia="Times New Roman" w:hAnsi="Arial" w:cs="Arial"/>
          <w:color w:val="000000"/>
        </w:rPr>
        <w:t xml:space="preserve"> Center for Infectious Disease, composed of 6 </w:t>
      </w:r>
      <w:r w:rsidR="00AA402E">
        <w:rPr>
          <w:rFonts w:ascii="Arial" w:eastAsia="Times New Roman" w:hAnsi="Arial" w:cs="Arial"/>
          <w:color w:val="000000"/>
        </w:rPr>
        <w:t>researchers</w:t>
      </w:r>
      <w:r w:rsidRPr="008869B5">
        <w:rPr>
          <w:rFonts w:ascii="Arial" w:eastAsia="Times New Roman" w:hAnsi="Arial" w:cs="Arial"/>
          <w:color w:val="000000"/>
        </w:rPr>
        <w:t xml:space="preserve">, deployed the mobile laboratory in Timbuktu. </w:t>
      </w:r>
      <w:r w:rsidR="00AA402E">
        <w:rPr>
          <w:rFonts w:ascii="Arial" w:eastAsia="Times New Roman" w:hAnsi="Arial" w:cs="Arial"/>
          <w:color w:val="000000"/>
        </w:rPr>
        <w:t>The laboratory was set up</w:t>
      </w:r>
      <w:r w:rsidRPr="008869B5">
        <w:rPr>
          <w:rFonts w:ascii="Arial" w:eastAsia="Times New Roman" w:hAnsi="Arial" w:cs="Arial"/>
          <w:color w:val="000000"/>
        </w:rPr>
        <w:t xml:space="preserve"> </w:t>
      </w:r>
      <w:r w:rsidR="00AA402E">
        <w:rPr>
          <w:rFonts w:ascii="Arial" w:eastAsia="Times New Roman" w:hAnsi="Arial" w:cs="Arial"/>
          <w:color w:val="000000"/>
        </w:rPr>
        <w:t>in</w:t>
      </w:r>
      <w:r w:rsidRPr="008869B5">
        <w:rPr>
          <w:rFonts w:ascii="Arial" w:eastAsia="Times New Roman" w:hAnsi="Arial" w:cs="Arial"/>
          <w:color w:val="000000"/>
        </w:rPr>
        <w:t xml:space="preserve"> the regional hospital in a room </w:t>
      </w:r>
      <w:r w:rsidR="00AA402E">
        <w:rPr>
          <w:rFonts w:ascii="Arial" w:eastAsia="Times New Roman" w:hAnsi="Arial" w:cs="Arial"/>
          <w:color w:val="000000"/>
        </w:rPr>
        <w:t>beside</w:t>
      </w:r>
      <w:r w:rsidRPr="008869B5">
        <w:rPr>
          <w:rFonts w:ascii="Arial" w:eastAsia="Times New Roman" w:hAnsi="Arial" w:cs="Arial"/>
          <w:color w:val="000000"/>
        </w:rPr>
        <w:t xml:space="preserve"> </w:t>
      </w:r>
      <w:r w:rsidR="00AA402E">
        <w:rPr>
          <w:rFonts w:ascii="Arial" w:eastAsia="Times New Roman" w:hAnsi="Arial" w:cs="Arial"/>
          <w:color w:val="000000"/>
        </w:rPr>
        <w:t xml:space="preserve">the </w:t>
      </w:r>
      <w:r w:rsidR="00AA402E" w:rsidRPr="008869B5">
        <w:rPr>
          <w:rFonts w:ascii="Arial" w:eastAsia="Times New Roman" w:hAnsi="Arial" w:cs="Arial"/>
          <w:color w:val="000000"/>
        </w:rPr>
        <w:t>COVID-19</w:t>
      </w:r>
      <w:r w:rsidR="00AA402E">
        <w:rPr>
          <w:rFonts w:ascii="Arial" w:eastAsia="Times New Roman" w:hAnsi="Arial" w:cs="Arial"/>
          <w:color w:val="000000"/>
        </w:rPr>
        <w:t xml:space="preserve"> treatment</w:t>
      </w:r>
      <w:r w:rsidRPr="008869B5">
        <w:rPr>
          <w:rFonts w:ascii="Arial" w:eastAsia="Times New Roman" w:hAnsi="Arial" w:cs="Arial"/>
          <w:color w:val="000000"/>
        </w:rPr>
        <w:t xml:space="preserve"> center. The next day</w:t>
      </w:r>
      <w:r w:rsidR="00AA402E">
        <w:rPr>
          <w:rFonts w:ascii="Arial" w:eastAsia="Times New Roman" w:hAnsi="Arial" w:cs="Arial"/>
          <w:color w:val="000000"/>
        </w:rPr>
        <w:t>,</w:t>
      </w:r>
      <w:r w:rsidRPr="008869B5">
        <w:rPr>
          <w:rFonts w:ascii="Arial" w:eastAsia="Times New Roman" w:hAnsi="Arial" w:cs="Arial"/>
          <w:color w:val="000000"/>
        </w:rPr>
        <w:t xml:space="preserve"> the team started </w:t>
      </w:r>
      <w:r w:rsidR="00AA402E">
        <w:rPr>
          <w:rFonts w:ascii="Arial" w:eastAsia="Times New Roman" w:hAnsi="Arial" w:cs="Arial"/>
          <w:color w:val="000000"/>
        </w:rPr>
        <w:t>the work (</w:t>
      </w:r>
      <w:r w:rsidR="000A629D">
        <w:rPr>
          <w:rFonts w:ascii="Arial" w:eastAsia="Times New Roman" w:hAnsi="Arial" w:cs="Arial"/>
          <w:color w:val="000000"/>
        </w:rPr>
        <w:t xml:space="preserve">reception of samples, </w:t>
      </w:r>
      <w:r w:rsidR="00AA402E">
        <w:rPr>
          <w:rFonts w:ascii="Arial" w:eastAsia="Times New Roman" w:hAnsi="Arial" w:cs="Arial"/>
          <w:color w:val="000000"/>
        </w:rPr>
        <w:t>decontamination</w:t>
      </w:r>
      <w:r w:rsidR="000A629D">
        <w:rPr>
          <w:rFonts w:ascii="Arial" w:eastAsia="Times New Roman" w:hAnsi="Arial" w:cs="Arial"/>
          <w:color w:val="000000"/>
        </w:rPr>
        <w:t xml:space="preserve"> </w:t>
      </w:r>
      <w:r w:rsidR="00AA402E">
        <w:rPr>
          <w:rFonts w:ascii="Arial" w:eastAsia="Times New Roman" w:hAnsi="Arial" w:cs="Arial"/>
          <w:color w:val="000000"/>
        </w:rPr>
        <w:t xml:space="preserve">in a glove box followed by </w:t>
      </w:r>
      <w:r w:rsidR="000A629D">
        <w:rPr>
          <w:rFonts w:ascii="Arial" w:eastAsia="Times New Roman" w:hAnsi="Arial" w:cs="Arial"/>
          <w:color w:val="000000"/>
        </w:rPr>
        <w:t>RNA extraction and RT-qPCR)</w:t>
      </w:r>
      <w:r w:rsidRPr="008869B5">
        <w:rPr>
          <w:rFonts w:ascii="Arial" w:eastAsia="Times New Roman" w:hAnsi="Arial" w:cs="Arial"/>
          <w:color w:val="000000"/>
        </w:rPr>
        <w:t xml:space="preserve">. The tests were carried out and the results </w:t>
      </w:r>
      <w:r w:rsidR="000A629D">
        <w:rPr>
          <w:rFonts w:ascii="Arial" w:eastAsia="Times New Roman" w:hAnsi="Arial" w:cs="Arial"/>
          <w:color w:val="000000"/>
        </w:rPr>
        <w:t>transmitted</w:t>
      </w:r>
      <w:r w:rsidRPr="008869B5">
        <w:rPr>
          <w:rFonts w:ascii="Arial" w:eastAsia="Times New Roman" w:hAnsi="Arial" w:cs="Arial"/>
          <w:color w:val="000000"/>
        </w:rPr>
        <w:t xml:space="preserve"> to the doctor within 4 hours </w:t>
      </w:r>
      <w:r w:rsidR="000A629D">
        <w:rPr>
          <w:rFonts w:ascii="Arial" w:eastAsia="Times New Roman" w:hAnsi="Arial" w:cs="Arial"/>
          <w:color w:val="000000"/>
        </w:rPr>
        <w:t>after</w:t>
      </w:r>
      <w:r w:rsidRPr="008869B5">
        <w:rPr>
          <w:rFonts w:ascii="Arial" w:eastAsia="Times New Roman" w:hAnsi="Arial" w:cs="Arial"/>
          <w:color w:val="000000"/>
        </w:rPr>
        <w:t xml:space="preserve"> receiving the samples. Patients with a positive test were systematically placed in isolation and treated in the center. This strategy of “testing and isolating the positives” with contact tracing has significantly reduced contamination and mortality. </w:t>
      </w:r>
      <w:r w:rsidR="000A629D" w:rsidRPr="008869B5">
        <w:rPr>
          <w:rFonts w:ascii="Arial" w:eastAsia="Times New Roman" w:hAnsi="Arial" w:cs="Arial"/>
          <w:color w:val="000000"/>
        </w:rPr>
        <w:t xml:space="preserve">Because of the fear of stigma, samples were initially taken overnight by a team led by the regional pharmacist and the infectious disease doctor of the treatment center and sent to the laboratory in the morning. </w:t>
      </w:r>
      <w:r w:rsidRPr="008869B5">
        <w:rPr>
          <w:rFonts w:ascii="Arial" w:eastAsia="Times New Roman" w:hAnsi="Arial" w:cs="Arial"/>
          <w:color w:val="000000"/>
        </w:rPr>
        <w:t xml:space="preserve">In fact, before the deployment of the mobile laboratory, the samples were sent to Bamako by </w:t>
      </w:r>
      <w:r w:rsidR="000A629D">
        <w:rPr>
          <w:rFonts w:ascii="Arial" w:eastAsia="Times New Roman" w:hAnsi="Arial" w:cs="Arial"/>
          <w:color w:val="000000"/>
        </w:rPr>
        <w:t>flight</w:t>
      </w:r>
      <w:r w:rsidRPr="008869B5">
        <w:rPr>
          <w:rFonts w:ascii="Arial" w:eastAsia="Times New Roman" w:hAnsi="Arial" w:cs="Arial"/>
          <w:color w:val="000000"/>
        </w:rPr>
        <w:t xml:space="preserve"> by UNHAS (United Nation Humanitarian Air Service) or MINUSMA (United Nations Multidimensional Integrated Stabilization Mission in Mali). </w:t>
      </w:r>
      <w:r w:rsidR="00E16D1A" w:rsidRPr="00E16D1A">
        <w:rPr>
          <w:rFonts w:ascii="Arial" w:eastAsia="Times New Roman" w:hAnsi="Arial" w:cs="Arial"/>
          <w:color w:val="000000"/>
        </w:rPr>
        <w:t xml:space="preserve">There had been 8 deaths due to respiratory distress in a week at the Timbuktu Hospital, which was destabilizing for the </w:t>
      </w:r>
      <w:r w:rsidR="00E16D1A">
        <w:rPr>
          <w:rFonts w:ascii="Arial" w:eastAsia="Times New Roman" w:hAnsi="Arial" w:cs="Arial"/>
          <w:color w:val="000000"/>
        </w:rPr>
        <w:t xml:space="preserve">authorities and the population of the </w:t>
      </w:r>
      <w:r w:rsidR="00E16D1A" w:rsidRPr="00E16D1A">
        <w:rPr>
          <w:rFonts w:ascii="Arial" w:eastAsia="Times New Roman" w:hAnsi="Arial" w:cs="Arial"/>
          <w:color w:val="000000"/>
        </w:rPr>
        <w:t>city located in an insecure zone</w:t>
      </w:r>
      <w:r w:rsidRPr="008869B5">
        <w:rPr>
          <w:rFonts w:ascii="Arial" w:eastAsia="Times New Roman" w:hAnsi="Arial" w:cs="Arial"/>
          <w:color w:val="000000"/>
        </w:rPr>
        <w:t>. The lack of an on-site diagnos</w:t>
      </w:r>
      <w:r w:rsidR="00E01A2D">
        <w:rPr>
          <w:rFonts w:ascii="Arial" w:eastAsia="Times New Roman" w:hAnsi="Arial" w:cs="Arial"/>
          <w:color w:val="000000"/>
        </w:rPr>
        <w:t>t</w:t>
      </w:r>
      <w:r w:rsidRPr="008869B5">
        <w:rPr>
          <w:rFonts w:ascii="Arial" w:eastAsia="Times New Roman" w:hAnsi="Arial" w:cs="Arial"/>
          <w:color w:val="000000"/>
        </w:rPr>
        <w:t>i</w:t>
      </w:r>
      <w:r w:rsidR="00E01A2D">
        <w:rPr>
          <w:rFonts w:ascii="Arial" w:eastAsia="Times New Roman" w:hAnsi="Arial" w:cs="Arial"/>
          <w:color w:val="000000"/>
        </w:rPr>
        <w:t>cs</w:t>
      </w:r>
      <w:r w:rsidRPr="008869B5">
        <w:rPr>
          <w:rFonts w:ascii="Arial" w:eastAsia="Times New Roman" w:hAnsi="Arial" w:cs="Arial"/>
          <w:color w:val="000000"/>
        </w:rPr>
        <w:t xml:space="preserve"> caused a delay in the management of patients infected with COVID-19. With the </w:t>
      </w:r>
      <w:r w:rsidR="000A629D">
        <w:rPr>
          <w:rFonts w:ascii="Arial" w:eastAsia="Times New Roman" w:hAnsi="Arial" w:cs="Arial"/>
          <w:color w:val="000000"/>
        </w:rPr>
        <w:t>deployment</w:t>
      </w:r>
      <w:r w:rsidRPr="008869B5">
        <w:rPr>
          <w:rFonts w:ascii="Arial" w:eastAsia="Times New Roman" w:hAnsi="Arial" w:cs="Arial"/>
          <w:color w:val="000000"/>
        </w:rPr>
        <w:t xml:space="preserve"> of the mobile laboratory, the diagnos</w:t>
      </w:r>
      <w:r w:rsidR="00E16D1A">
        <w:rPr>
          <w:rFonts w:ascii="Arial" w:eastAsia="Times New Roman" w:hAnsi="Arial" w:cs="Arial"/>
          <w:color w:val="000000"/>
        </w:rPr>
        <w:t>tic</w:t>
      </w:r>
      <w:r w:rsidRPr="008869B5">
        <w:rPr>
          <w:rFonts w:ascii="Arial" w:eastAsia="Times New Roman" w:hAnsi="Arial" w:cs="Arial"/>
          <w:color w:val="000000"/>
        </w:rPr>
        <w:t xml:space="preserve"> being early, mortality decreased significantly. </w:t>
      </w:r>
      <w:r w:rsidR="00E16D1A" w:rsidRPr="00E16D1A">
        <w:rPr>
          <w:rFonts w:ascii="Arial" w:eastAsia="Times New Roman" w:hAnsi="Arial" w:cs="Arial"/>
          <w:color w:val="000000"/>
        </w:rPr>
        <w:t xml:space="preserve">The dynamics of the </w:t>
      </w:r>
      <w:r w:rsidR="00E16D1A">
        <w:rPr>
          <w:rFonts w:ascii="Arial" w:eastAsia="Times New Roman" w:hAnsi="Arial" w:cs="Arial"/>
          <w:color w:val="000000"/>
        </w:rPr>
        <w:t>outbreak</w:t>
      </w:r>
      <w:r w:rsidR="00E16D1A" w:rsidRPr="00E16D1A">
        <w:rPr>
          <w:rFonts w:ascii="Arial" w:eastAsia="Times New Roman" w:hAnsi="Arial" w:cs="Arial"/>
          <w:color w:val="000000"/>
        </w:rPr>
        <w:t xml:space="preserve"> have changed with a significant d</w:t>
      </w:r>
      <w:r w:rsidR="00E16D1A">
        <w:rPr>
          <w:rFonts w:ascii="Arial" w:eastAsia="Times New Roman" w:hAnsi="Arial" w:cs="Arial"/>
          <w:color w:val="000000"/>
        </w:rPr>
        <w:t xml:space="preserve">ecrease </w:t>
      </w:r>
      <w:r w:rsidR="00E16D1A" w:rsidRPr="00E16D1A">
        <w:rPr>
          <w:rFonts w:ascii="Arial" w:eastAsia="Times New Roman" w:hAnsi="Arial" w:cs="Arial"/>
          <w:color w:val="000000"/>
        </w:rPr>
        <w:t>of contamination, hospitalization, and death from COVID-19 in Timbuktu during the first wave in Mali</w:t>
      </w:r>
      <w:r w:rsidRPr="008869B5">
        <w:rPr>
          <w:rFonts w:ascii="Arial" w:eastAsia="Times New Roman" w:hAnsi="Arial" w:cs="Arial"/>
          <w:color w:val="000000"/>
        </w:rPr>
        <w:t xml:space="preserve">. A total of 1516 people were tested, of which 440 were positive, for a prevalence of 29%. </w:t>
      </w:r>
      <w:r w:rsidR="000A629D">
        <w:rPr>
          <w:rFonts w:ascii="Arial" w:eastAsia="Times New Roman" w:hAnsi="Arial" w:cs="Arial"/>
          <w:color w:val="000000"/>
        </w:rPr>
        <w:t>P</w:t>
      </w:r>
      <w:r w:rsidRPr="008869B5">
        <w:rPr>
          <w:rFonts w:ascii="Arial" w:eastAsia="Times New Roman" w:hAnsi="Arial" w:cs="Arial"/>
          <w:color w:val="000000"/>
        </w:rPr>
        <w:t xml:space="preserve">atients were isolated either in the hospital treatment center or in their homes. Only 3 deaths were </w:t>
      </w:r>
      <w:r w:rsidR="00E01A2D">
        <w:rPr>
          <w:rFonts w:ascii="Arial" w:eastAsia="Times New Roman" w:hAnsi="Arial" w:cs="Arial"/>
          <w:color w:val="000000"/>
        </w:rPr>
        <w:t>record</w:t>
      </w:r>
      <w:r w:rsidRPr="008869B5">
        <w:rPr>
          <w:rFonts w:ascii="Arial" w:eastAsia="Times New Roman" w:hAnsi="Arial" w:cs="Arial"/>
          <w:color w:val="000000"/>
        </w:rPr>
        <w:t xml:space="preserve">ed during the deployment period which lasted 43 days. This deployment of the mobile laboratory in an epidemic situation was an opportunity to test the competence of the CICM-Mali team after several training sessions by experts from the Institute of Microbiology of </w:t>
      </w:r>
      <w:r w:rsidR="00E01A2D">
        <w:rPr>
          <w:rFonts w:ascii="Arial" w:eastAsia="Times New Roman" w:hAnsi="Arial" w:cs="Arial"/>
          <w:color w:val="000000"/>
        </w:rPr>
        <w:t>Bundeswehr (</w:t>
      </w:r>
      <w:proofErr w:type="spellStart"/>
      <w:r w:rsidR="00E01A2D">
        <w:rPr>
          <w:rFonts w:ascii="Arial" w:eastAsia="Times New Roman" w:hAnsi="Arial" w:cs="Arial"/>
          <w:color w:val="000000"/>
        </w:rPr>
        <w:t>IMBw</w:t>
      </w:r>
      <w:proofErr w:type="spellEnd"/>
      <w:r w:rsidR="00E01A2D">
        <w:rPr>
          <w:rFonts w:ascii="Arial" w:eastAsia="Times New Roman" w:hAnsi="Arial" w:cs="Arial"/>
          <w:color w:val="000000"/>
        </w:rPr>
        <w:t>)</w:t>
      </w:r>
      <w:r w:rsidR="00E01A2D" w:rsidRPr="008869B5">
        <w:rPr>
          <w:rFonts w:ascii="Arial" w:eastAsia="Times New Roman" w:hAnsi="Arial" w:cs="Arial"/>
          <w:color w:val="000000"/>
        </w:rPr>
        <w:t xml:space="preserve"> </w:t>
      </w:r>
      <w:r w:rsidRPr="008869B5">
        <w:rPr>
          <w:rFonts w:ascii="Arial" w:eastAsia="Times New Roman" w:hAnsi="Arial" w:cs="Arial"/>
          <w:color w:val="000000"/>
        </w:rPr>
        <w:t xml:space="preserve">as part of the </w:t>
      </w:r>
      <w:r w:rsidR="00DD1319">
        <w:rPr>
          <w:rFonts w:ascii="Arial" w:eastAsia="Times New Roman" w:hAnsi="Arial" w:cs="Arial"/>
          <w:color w:val="000000"/>
        </w:rPr>
        <w:t xml:space="preserve">German </w:t>
      </w:r>
      <w:r w:rsidR="00DD1319" w:rsidRPr="008869B5">
        <w:rPr>
          <w:rFonts w:ascii="Arial" w:eastAsia="Times New Roman" w:hAnsi="Arial" w:cs="Arial"/>
          <w:color w:val="000000"/>
        </w:rPr>
        <w:t>Ministry of Foreign Affairs</w:t>
      </w:r>
      <w:r w:rsidR="00DD1319">
        <w:rPr>
          <w:rFonts w:ascii="Arial" w:eastAsia="Times New Roman" w:hAnsi="Arial" w:cs="Arial"/>
          <w:color w:val="000000"/>
        </w:rPr>
        <w:t>, “Enable and Enhance Initiative’s project”</w:t>
      </w:r>
      <w:r w:rsidRPr="008869B5">
        <w:rPr>
          <w:rFonts w:ascii="Arial" w:eastAsia="Times New Roman" w:hAnsi="Arial" w:cs="Arial"/>
          <w:color w:val="000000"/>
        </w:rPr>
        <w:t>. The mobile laboratory has thus shown its efficiency and its usefulness in responding to emergencies</w:t>
      </w:r>
      <w:r w:rsidR="00DD1319">
        <w:rPr>
          <w:rFonts w:ascii="Arial" w:eastAsia="Times New Roman" w:hAnsi="Arial" w:cs="Arial"/>
          <w:color w:val="000000"/>
        </w:rPr>
        <w:t xml:space="preserve"> in Mali</w:t>
      </w:r>
      <w:r w:rsidRPr="008869B5">
        <w:rPr>
          <w:rFonts w:ascii="Arial" w:eastAsia="Times New Roman" w:hAnsi="Arial" w:cs="Arial"/>
          <w:color w:val="000000"/>
        </w:rPr>
        <w:t>.</w:t>
      </w:r>
    </w:p>
    <w:sectPr w:rsidR="008869B5" w:rsidRPr="008869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B50"/>
    <w:rsid w:val="000A629D"/>
    <w:rsid w:val="00226B50"/>
    <w:rsid w:val="002A3C3C"/>
    <w:rsid w:val="00373908"/>
    <w:rsid w:val="004F3FCF"/>
    <w:rsid w:val="00544D22"/>
    <w:rsid w:val="005A10E0"/>
    <w:rsid w:val="00627896"/>
    <w:rsid w:val="00652CB3"/>
    <w:rsid w:val="006764B4"/>
    <w:rsid w:val="007759F6"/>
    <w:rsid w:val="008869B5"/>
    <w:rsid w:val="00AA402E"/>
    <w:rsid w:val="00AC60D8"/>
    <w:rsid w:val="00B64A94"/>
    <w:rsid w:val="00C53C99"/>
    <w:rsid w:val="00C8680E"/>
    <w:rsid w:val="00D866D9"/>
    <w:rsid w:val="00DD1319"/>
    <w:rsid w:val="00E01A2D"/>
    <w:rsid w:val="00E16D1A"/>
    <w:rsid w:val="00E21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656D"/>
  <w15:chartTrackingRefBased/>
  <w15:docId w15:val="{3B2E7858-EBD4-4245-99E4-3AD3AE349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764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4B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15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Bourema Kouriba</dc:creator>
  <cp:keywords/>
  <dc:description/>
  <cp:lastModifiedBy>Bourema Kouriba</cp:lastModifiedBy>
  <cp:revision>2</cp:revision>
  <dcterms:created xsi:type="dcterms:W3CDTF">2021-08-12T08:09:00Z</dcterms:created>
  <dcterms:modified xsi:type="dcterms:W3CDTF">2021-08-12T08:09:00Z</dcterms:modified>
</cp:coreProperties>
</file>