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00151" w:rsidP="00494130">
      <w:pPr>
        <w:pStyle w:val="Nagwek1"/>
        <w:spacing w:before="170"/>
        <w:ind w:left="0"/>
      </w:pPr>
      <w:r>
        <w:rPr>
          <w:color w:val="337AB7"/>
        </w:rPr>
        <w:t xml:space="preserve">Electrochemical deposition of artificial recognition unit for gluten </w:t>
      </w:r>
      <w:bookmarkStart w:id="0" w:name="_GoBack"/>
      <w:bookmarkEnd w:id="0"/>
      <w:r>
        <w:rPr>
          <w:color w:val="337AB7"/>
        </w:rPr>
        <w:t>epitope selective determination</w:t>
      </w:r>
    </w:p>
    <w:p w:rsidR="00284381" w:rsidRPr="005B3D8A" w:rsidRDefault="00C00151" w:rsidP="001D7E51">
      <w:pPr>
        <w:pStyle w:val="Tekstpodstawowy"/>
        <w:spacing w:before="73" w:line="198" w:lineRule="exact"/>
        <w:ind w:left="100" w:right="58"/>
        <w:jc w:val="both"/>
        <w:rPr>
          <w:rFonts w:ascii="Arial"/>
        </w:rPr>
      </w:pPr>
      <w:r w:rsidRPr="005B3D8A">
        <w:rPr>
          <w:rFonts w:ascii="Arial"/>
        </w:rPr>
        <w:t>Zofia</w:t>
      </w:r>
      <w:r w:rsidR="00284381" w:rsidRPr="005B3D8A">
        <w:rPr>
          <w:rFonts w:ascii="Arial"/>
        </w:rPr>
        <w:t xml:space="preserve"> Iskierko</w:t>
      </w:r>
      <w:r w:rsidR="005B3D8A" w:rsidRPr="005B3D8A">
        <w:rPr>
          <w:rFonts w:ascii="Arial"/>
        </w:rPr>
        <w:t>, PhD</w:t>
      </w:r>
      <w:r w:rsidR="005B3D8A">
        <w:rPr>
          <w:rFonts w:ascii="Arial"/>
        </w:rPr>
        <w:t xml:space="preserve">, </w:t>
      </w:r>
      <w:r w:rsidR="005B3D8A" w:rsidRPr="005B3D8A">
        <w:rPr>
          <w:rFonts w:ascii="Arial"/>
        </w:rPr>
        <w:t>Department of Biotechnology, University of Verona,</w:t>
      </w:r>
      <w:r w:rsidR="005B3D8A">
        <w:rPr>
          <w:rFonts w:ascii="Arial"/>
        </w:rPr>
        <w:t xml:space="preserve"> </w:t>
      </w:r>
      <w:proofErr w:type="spellStart"/>
      <w:r w:rsidR="005B3D8A" w:rsidRPr="005B3D8A">
        <w:rPr>
          <w:rFonts w:ascii="Arial"/>
        </w:rPr>
        <w:t>Strada</w:t>
      </w:r>
      <w:proofErr w:type="spellEnd"/>
      <w:r w:rsidR="005B3D8A" w:rsidRPr="005B3D8A">
        <w:rPr>
          <w:rFonts w:ascii="Arial"/>
        </w:rPr>
        <w:t xml:space="preserve"> Le Grazie 15, 37134 Verona, Italy</w:t>
      </w:r>
    </w:p>
    <w:p w:rsidR="00284381" w:rsidRPr="005B3D8A" w:rsidRDefault="001D7E51" w:rsidP="001D7E51">
      <w:pPr>
        <w:pStyle w:val="Tekstpodstawowy"/>
        <w:spacing w:before="73" w:line="198" w:lineRule="exact"/>
        <w:ind w:left="100" w:right="58"/>
        <w:jc w:val="both"/>
        <w:rPr>
          <w:rFonts w:ascii="Arial"/>
        </w:rPr>
      </w:pPr>
      <w:proofErr w:type="spellStart"/>
      <w:r>
        <w:rPr>
          <w:rFonts w:ascii="Arial"/>
        </w:rPr>
        <w:t>Piyush</w:t>
      </w:r>
      <w:proofErr w:type="spellEnd"/>
      <w:r>
        <w:rPr>
          <w:rFonts w:ascii="Arial"/>
        </w:rPr>
        <w:t xml:space="preserve"> S.</w:t>
      </w:r>
      <w:r w:rsidR="00284381" w:rsidRPr="005B3D8A">
        <w:rPr>
          <w:rFonts w:ascii="Arial"/>
        </w:rPr>
        <w:t xml:space="preserve"> Sharma</w:t>
      </w:r>
      <w:r w:rsidR="005B3D8A" w:rsidRPr="005B3D8A">
        <w:rPr>
          <w:rFonts w:ascii="Arial"/>
        </w:rPr>
        <w:t>, PhD</w:t>
      </w:r>
      <w:r w:rsidR="005B3D8A">
        <w:rPr>
          <w:rFonts w:ascii="Arial"/>
        </w:rPr>
        <w:t xml:space="preserve">, </w:t>
      </w:r>
      <w:r w:rsidR="005B3D8A" w:rsidRPr="005B3D8A">
        <w:rPr>
          <w:rFonts w:ascii="Arial"/>
        </w:rPr>
        <w:t>Institute of Physical Chemistry, Polish Academy of Sciences,</w:t>
      </w:r>
      <w:r w:rsidR="005B3D8A">
        <w:rPr>
          <w:rFonts w:ascii="Arial"/>
        </w:rPr>
        <w:t xml:space="preserve"> </w:t>
      </w:r>
      <w:r w:rsidR="005B3D8A" w:rsidRPr="005B3D8A">
        <w:rPr>
          <w:rFonts w:ascii="Arial"/>
        </w:rPr>
        <w:t>Kasprzaka 44/52, 01-224 Warsaw, Poland</w:t>
      </w:r>
    </w:p>
    <w:p w:rsidR="00284381" w:rsidRPr="005B3D8A" w:rsidRDefault="005B3D8A" w:rsidP="001D7E51">
      <w:pPr>
        <w:pStyle w:val="Tekstpodstawowy"/>
        <w:spacing w:before="73" w:line="198" w:lineRule="exact"/>
        <w:ind w:left="100" w:right="58"/>
        <w:jc w:val="both"/>
        <w:rPr>
          <w:rFonts w:ascii="Arial"/>
        </w:rPr>
      </w:pPr>
      <w:r>
        <w:rPr>
          <w:rFonts w:ascii="Arial"/>
        </w:rPr>
        <w:t xml:space="preserve">Prof. </w:t>
      </w:r>
      <w:r w:rsidR="00284381" w:rsidRPr="005B3D8A">
        <w:rPr>
          <w:rFonts w:ascii="Arial"/>
        </w:rPr>
        <w:t xml:space="preserve">Alessandra Maria </w:t>
      </w:r>
      <w:proofErr w:type="spellStart"/>
      <w:r w:rsidR="00284381" w:rsidRPr="005B3D8A">
        <w:rPr>
          <w:rFonts w:ascii="Arial"/>
        </w:rPr>
        <w:t>Bossi</w:t>
      </w:r>
      <w:proofErr w:type="spellEnd"/>
      <w:r>
        <w:rPr>
          <w:rFonts w:ascii="Arial"/>
        </w:rPr>
        <w:t xml:space="preserve">, </w:t>
      </w:r>
      <w:r w:rsidRPr="005B3D8A">
        <w:rPr>
          <w:rFonts w:ascii="Arial"/>
        </w:rPr>
        <w:t>Department of Biotechnology, University of Verona,</w:t>
      </w:r>
      <w:r>
        <w:rPr>
          <w:rFonts w:ascii="Arial"/>
        </w:rPr>
        <w:t xml:space="preserve"> </w:t>
      </w:r>
      <w:proofErr w:type="spellStart"/>
      <w:r w:rsidRPr="005B3D8A">
        <w:rPr>
          <w:rFonts w:ascii="Arial"/>
        </w:rPr>
        <w:t>Strada</w:t>
      </w:r>
      <w:proofErr w:type="spellEnd"/>
      <w:r w:rsidRPr="005B3D8A">
        <w:rPr>
          <w:rFonts w:ascii="Arial"/>
        </w:rPr>
        <w:t xml:space="preserve"> Le Grazie 15, 37134 Verona, Italy</w:t>
      </w:r>
    </w:p>
    <w:p w:rsidR="00AE3E37" w:rsidRPr="001D7E51" w:rsidRDefault="005B3D8A" w:rsidP="001D7E51">
      <w:pPr>
        <w:pStyle w:val="Tekstpodstawowy"/>
        <w:spacing w:before="73" w:line="198" w:lineRule="exact"/>
        <w:ind w:left="100" w:right="58"/>
        <w:jc w:val="both"/>
        <w:rPr>
          <w:rFonts w:ascii="Arial"/>
        </w:rPr>
      </w:pPr>
      <w:r>
        <w:rPr>
          <w:rFonts w:ascii="Arial"/>
        </w:rPr>
        <w:t xml:space="preserve">Prof. </w:t>
      </w:r>
      <w:proofErr w:type="spellStart"/>
      <w:r w:rsidR="00284381" w:rsidRPr="00284381">
        <w:rPr>
          <w:rFonts w:ascii="Arial"/>
        </w:rPr>
        <w:t>Wlodzimierz</w:t>
      </w:r>
      <w:proofErr w:type="spellEnd"/>
      <w:r w:rsidR="00284381" w:rsidRPr="00284381">
        <w:rPr>
          <w:rFonts w:ascii="Arial"/>
        </w:rPr>
        <w:t xml:space="preserve"> </w:t>
      </w:r>
      <w:proofErr w:type="spellStart"/>
      <w:r w:rsidR="00284381" w:rsidRPr="00284381">
        <w:rPr>
          <w:rFonts w:ascii="Arial"/>
        </w:rPr>
        <w:t>Kutner</w:t>
      </w:r>
      <w:proofErr w:type="spellEnd"/>
      <w:r>
        <w:rPr>
          <w:rFonts w:ascii="Arial"/>
        </w:rPr>
        <w:t xml:space="preserve">, </w:t>
      </w:r>
      <w:r w:rsidRPr="005B3D8A">
        <w:rPr>
          <w:rFonts w:ascii="Arial"/>
        </w:rPr>
        <w:t>Institute of Physical Chemistry, Polish Academy of Sciences,</w:t>
      </w:r>
      <w:r>
        <w:rPr>
          <w:rFonts w:ascii="Arial"/>
        </w:rPr>
        <w:t xml:space="preserve"> </w:t>
      </w:r>
      <w:r w:rsidRPr="005B3D8A">
        <w:rPr>
          <w:rFonts w:ascii="Arial"/>
        </w:rPr>
        <w:t>Kasprzaka 44/52, 01-224 Warsaw, Poland</w:t>
      </w:r>
      <w:r w:rsidR="001D7E51">
        <w:rPr>
          <w:rFonts w:ascii="Arial"/>
        </w:rPr>
        <w:t xml:space="preserve">, and </w:t>
      </w:r>
      <w:r w:rsidR="001D7E51" w:rsidRPr="001D7E51">
        <w:rPr>
          <w:rFonts w:ascii="Arial"/>
        </w:rPr>
        <w:t>Faculty of Mathematics and Natural Sciences, School of Science,</w:t>
      </w:r>
      <w:r w:rsidR="001D7E51">
        <w:rPr>
          <w:rFonts w:ascii="Arial"/>
        </w:rPr>
        <w:t xml:space="preserve"> </w:t>
      </w:r>
      <w:r w:rsidR="001D7E51" w:rsidRPr="001D7E51">
        <w:rPr>
          <w:rFonts w:ascii="Arial"/>
        </w:rPr>
        <w:t>Cardinal Stefan Wyszynski University in Warsaw,</w:t>
      </w:r>
      <w:r w:rsidR="001D7E51">
        <w:rPr>
          <w:rFonts w:ascii="Arial"/>
        </w:rPr>
        <w:t xml:space="preserve"> </w:t>
      </w:r>
      <w:proofErr w:type="spellStart"/>
      <w:r w:rsidR="001D7E51" w:rsidRPr="001D7E51">
        <w:rPr>
          <w:rFonts w:ascii="Arial"/>
        </w:rPr>
        <w:t>W</w:t>
      </w:r>
      <w:r w:rsidR="001D7E51">
        <w:rPr>
          <w:rFonts w:ascii="Arial"/>
        </w:rPr>
        <w:t>o</w:t>
      </w:r>
      <w:r w:rsidR="001D7E51" w:rsidRPr="001D7E51">
        <w:rPr>
          <w:rFonts w:ascii="Arial"/>
        </w:rPr>
        <w:t>ycickiego</w:t>
      </w:r>
      <w:proofErr w:type="spellEnd"/>
      <w:r w:rsidR="001D7E51" w:rsidRPr="001D7E51">
        <w:rPr>
          <w:rFonts w:ascii="Arial"/>
        </w:rPr>
        <w:t xml:space="preserve"> 1/3, 01-815 Warsaw, Poland</w:t>
      </w:r>
      <w:r w:rsidR="001D7E51">
        <w:rPr>
          <w:rFonts w:ascii="Arial"/>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t>Abstract</w:t>
      </w:r>
    </w:p>
    <w:p w:rsidR="004E4ED7" w:rsidRPr="00364B02" w:rsidRDefault="004E4ED7" w:rsidP="004E4ED7">
      <w:pPr>
        <w:pStyle w:val="Bezodstpw"/>
        <w:jc w:val="both"/>
        <w:rPr>
          <w:rFonts w:ascii="Tw Cen MT" w:eastAsia="Tw Cen MT" w:hAnsi="Tw Cen MT" w:cs="Tw Cen MT"/>
          <w:sz w:val="18"/>
          <w:szCs w:val="18"/>
          <w:lang w:val="en-US"/>
        </w:rPr>
      </w:pPr>
      <w:r w:rsidRPr="00364B02">
        <w:rPr>
          <w:rFonts w:ascii="Tw Cen MT" w:eastAsia="Tw Cen MT" w:hAnsi="Tw Cen MT" w:cs="Tw Cen MT"/>
          <w:sz w:val="18"/>
          <w:szCs w:val="18"/>
          <w:lang w:val="en-US"/>
        </w:rPr>
        <w:t xml:space="preserve">Gluten, that chemically corresponds to storage proteins deposited in the starchy endosperm cells of the developing grain, is the allergen that triggers </w:t>
      </w:r>
      <w:proofErr w:type="spellStart"/>
      <w:r w:rsidRPr="00364B02">
        <w:rPr>
          <w:rFonts w:ascii="Tw Cen MT" w:eastAsia="Tw Cen MT" w:hAnsi="Tw Cen MT" w:cs="Tw Cen MT"/>
          <w:sz w:val="18"/>
          <w:szCs w:val="18"/>
          <w:lang w:val="en-US"/>
        </w:rPr>
        <w:t>autoimmuno</w:t>
      </w:r>
      <w:proofErr w:type="spellEnd"/>
      <w:r w:rsidRPr="00364B02">
        <w:rPr>
          <w:rFonts w:ascii="Tw Cen MT" w:eastAsia="Tw Cen MT" w:hAnsi="Tw Cen MT" w:cs="Tw Cen MT"/>
          <w:sz w:val="18"/>
          <w:szCs w:val="18"/>
          <w:lang w:val="en-US"/>
        </w:rPr>
        <w:t xml:space="preserve"> reactions in people suffering of celiac sprue (CS). It is estimated that CS affects the 1-2 % of the European population with direct costs on the healthcare estimated about 3 </w:t>
      </w:r>
      <w:proofErr w:type="spellStart"/>
      <w:r w:rsidRPr="00364B02">
        <w:rPr>
          <w:rFonts w:ascii="Tw Cen MT" w:eastAsia="Tw Cen MT" w:hAnsi="Tw Cen MT" w:cs="Tw Cen MT"/>
          <w:sz w:val="18"/>
          <w:szCs w:val="18"/>
          <w:lang w:val="en-US"/>
        </w:rPr>
        <w:t>bn</w:t>
      </w:r>
      <w:proofErr w:type="spellEnd"/>
      <w:r w:rsidRPr="00364B02">
        <w:rPr>
          <w:rFonts w:ascii="Tw Cen MT" w:eastAsia="Tw Cen MT" w:hAnsi="Tw Cen MT" w:cs="Tw Cen MT"/>
          <w:sz w:val="18"/>
          <w:szCs w:val="18"/>
          <w:lang w:val="en-US"/>
        </w:rPr>
        <w:t xml:space="preserve"> Euros/year.</w:t>
      </w:r>
      <w:r w:rsidRPr="00364B02">
        <w:rPr>
          <w:rFonts w:ascii="Tw Cen MT" w:eastAsia="Tw Cen MT" w:hAnsi="Tw Cen MT" w:cs="Tw Cen MT"/>
          <w:sz w:val="18"/>
          <w:szCs w:val="18"/>
          <w:vertAlign w:val="superscript"/>
          <w:lang w:val="en-US"/>
        </w:rPr>
        <w:t>1</w:t>
      </w:r>
      <w:r w:rsidRPr="00364B02">
        <w:rPr>
          <w:rFonts w:ascii="Tw Cen MT" w:eastAsia="Tw Cen MT" w:hAnsi="Tw Cen MT" w:cs="Tw Cen MT"/>
          <w:sz w:val="18"/>
          <w:szCs w:val="18"/>
          <w:lang w:val="en-US"/>
        </w:rPr>
        <w:t xml:space="preserve">  The only effective therapy is strict dietary abstinence from gluten, in fact, even a small contamination of food with gluten can cause serious adverse reactions from digestive system. Food considered as “gluten-free”, thus safe for CS suffering people, should contain less than 20 mg/kg of gluten.</w:t>
      </w:r>
    </w:p>
    <w:p w:rsidR="004E4ED7" w:rsidRPr="00364B02" w:rsidRDefault="004E4ED7" w:rsidP="004E4ED7">
      <w:pPr>
        <w:pStyle w:val="Bezodstpw"/>
        <w:ind w:firstLine="100"/>
        <w:jc w:val="both"/>
        <w:rPr>
          <w:rFonts w:ascii="Tw Cen MT" w:eastAsia="Tw Cen MT" w:hAnsi="Tw Cen MT" w:cs="Tw Cen MT"/>
          <w:sz w:val="18"/>
          <w:szCs w:val="18"/>
          <w:lang w:val="en-US"/>
        </w:rPr>
      </w:pPr>
      <w:r w:rsidRPr="00364B02">
        <w:rPr>
          <w:rFonts w:ascii="Tw Cen MT" w:eastAsia="Tw Cen MT" w:hAnsi="Tw Cen MT" w:cs="Tw Cen MT"/>
          <w:sz w:val="18"/>
          <w:szCs w:val="18"/>
          <w:lang w:val="en-US"/>
        </w:rPr>
        <w:t>Molecularly Imprinted Polymers (MIPs) are artificially made receptors</w:t>
      </w:r>
      <w:r w:rsidR="003255B1" w:rsidRPr="00281D22">
        <w:rPr>
          <w:rFonts w:ascii="Tw Cen MT" w:eastAsia="Tw Cen MT" w:hAnsi="Tw Cen MT" w:cs="Tw Cen MT"/>
          <w:sz w:val="18"/>
          <w:szCs w:val="18"/>
          <w:vertAlign w:val="superscript"/>
          <w:lang w:val="en-US"/>
        </w:rPr>
        <w:t>2</w:t>
      </w:r>
      <w:r w:rsidRPr="00364B02">
        <w:rPr>
          <w:rFonts w:ascii="Tw Cen MT" w:eastAsia="Tw Cen MT" w:hAnsi="Tw Cen MT" w:cs="Tw Cen MT"/>
          <w:sz w:val="18"/>
          <w:szCs w:val="18"/>
          <w:lang w:val="en-US"/>
        </w:rPr>
        <w:t xml:space="preserve"> with the ability to bind reversibly and to recognize the target analytes. The fabrication of MIPs against small molecules or peptides is now straightforward, whereas imprinting of large molecular structures, such as proteins, still poses challenges</w:t>
      </w:r>
      <w:r w:rsidRPr="00364B02">
        <w:rPr>
          <w:rFonts w:ascii="Tw Cen MT" w:eastAsia="Tw Cen MT" w:hAnsi="Tw Cen MT" w:cs="Tw Cen MT"/>
          <w:sz w:val="18"/>
          <w:szCs w:val="18"/>
          <w:vertAlign w:val="superscript"/>
          <w:lang w:val="en-US"/>
        </w:rPr>
        <w:t>3,4</w:t>
      </w:r>
      <w:r w:rsidRPr="00364B02">
        <w:rPr>
          <w:rFonts w:ascii="Tw Cen MT" w:eastAsia="Tw Cen MT" w:hAnsi="Tw Cen MT" w:cs="Tw Cen MT"/>
          <w:sz w:val="18"/>
          <w:szCs w:val="18"/>
          <w:lang w:val="en-US"/>
        </w:rPr>
        <w:t xml:space="preserve">  A possible solution is to imprint just defined epitopes instead of the whole protein.</w:t>
      </w:r>
      <w:r w:rsidRPr="00364B02">
        <w:rPr>
          <w:rFonts w:ascii="Tw Cen MT" w:eastAsia="Tw Cen MT" w:hAnsi="Tw Cen MT" w:cs="Tw Cen MT"/>
          <w:sz w:val="18"/>
          <w:szCs w:val="18"/>
          <w:vertAlign w:val="superscript"/>
          <w:lang w:val="en-US"/>
        </w:rPr>
        <w:t>5</w:t>
      </w:r>
    </w:p>
    <w:p w:rsidR="00C7370C" w:rsidRPr="00364B02" w:rsidRDefault="00C7370C" w:rsidP="00C7370C">
      <w:pPr>
        <w:pStyle w:val="Bezodstpw"/>
        <w:ind w:firstLine="284"/>
        <w:jc w:val="both"/>
        <w:rPr>
          <w:rFonts w:ascii="Tw Cen MT" w:eastAsia="Tw Cen MT" w:hAnsi="Tw Cen MT" w:cs="Tw Cen MT"/>
          <w:sz w:val="18"/>
          <w:szCs w:val="18"/>
          <w:lang w:val="en-US"/>
        </w:rPr>
      </w:pPr>
      <w:r w:rsidRPr="00364B02">
        <w:rPr>
          <w:rFonts w:ascii="Tw Cen MT" w:eastAsia="Tw Cen MT" w:hAnsi="Tw Cen MT" w:cs="Tw Cen MT"/>
          <w:sz w:val="18"/>
          <w:szCs w:val="18"/>
          <w:lang w:val="en-US"/>
        </w:rPr>
        <w:t>In the present study, a toxic gluten epitope, PQQPFPQQ, was chosen as a template for imprinting.  The MIP film was prepared by electrochemical polymerization of bis(</w:t>
      </w:r>
      <w:proofErr w:type="spellStart"/>
      <w:r w:rsidRPr="00364B02">
        <w:rPr>
          <w:rFonts w:ascii="Tw Cen MT" w:eastAsia="Tw Cen MT" w:hAnsi="Tw Cen MT" w:cs="Tw Cen MT"/>
          <w:sz w:val="18"/>
          <w:szCs w:val="18"/>
          <w:lang w:val="en-US"/>
        </w:rPr>
        <w:t>bithiophene</w:t>
      </w:r>
      <w:proofErr w:type="spellEnd"/>
      <w:r w:rsidRPr="00364B02">
        <w:rPr>
          <w:rFonts w:ascii="Tw Cen MT" w:eastAsia="Tw Cen MT" w:hAnsi="Tw Cen MT" w:cs="Tw Cen MT"/>
          <w:sz w:val="18"/>
          <w:szCs w:val="18"/>
          <w:lang w:val="en-US"/>
        </w:rPr>
        <w:t>) derivatives, bearing either cytosine or carboxylic acid substituent, in the presence of the template and a cross-linker</w:t>
      </w:r>
      <w:r w:rsidR="009C4799">
        <w:rPr>
          <w:rFonts w:ascii="Tw Cen MT" w:eastAsia="Tw Cen MT" w:hAnsi="Tw Cen MT" w:cs="Tw Cen MT"/>
          <w:sz w:val="18"/>
          <w:szCs w:val="18"/>
          <w:lang w:val="en-US"/>
        </w:rPr>
        <w:t xml:space="preserve"> (Figure 1a)</w:t>
      </w:r>
      <w:r w:rsidRPr="00364B02">
        <w:rPr>
          <w:rFonts w:ascii="Tw Cen MT" w:eastAsia="Tw Cen MT" w:hAnsi="Tw Cen MT" w:cs="Tw Cen MT"/>
          <w:sz w:val="18"/>
          <w:szCs w:val="18"/>
          <w:lang w:val="en-US"/>
        </w:rPr>
        <w:t xml:space="preserve">. After deposition, the template was extracted from the polymer film. Subsequently, the film composition was characterized by X-ray photoelectron spectroscopy (XPS) as well as its morphology and thickness were studied by atomic force microscopy (AFM). </w:t>
      </w:r>
    </w:p>
    <w:p w:rsidR="00C7370C" w:rsidRDefault="00C7370C" w:rsidP="00C7370C">
      <w:pPr>
        <w:pStyle w:val="Bezodstpw"/>
        <w:ind w:firstLine="284"/>
        <w:jc w:val="both"/>
        <w:rPr>
          <w:rFonts w:ascii="Tw Cen MT" w:eastAsia="Tw Cen MT" w:hAnsi="Tw Cen MT" w:cs="Tw Cen MT"/>
          <w:sz w:val="18"/>
          <w:szCs w:val="18"/>
          <w:lang w:val="en-US"/>
        </w:rPr>
      </w:pPr>
      <w:r w:rsidRPr="00364B02">
        <w:rPr>
          <w:rFonts w:ascii="Tw Cen MT" w:eastAsia="Tw Cen MT" w:hAnsi="Tw Cen MT" w:cs="Tw Cen MT"/>
          <w:sz w:val="18"/>
          <w:szCs w:val="18"/>
          <w:lang w:val="en-US"/>
        </w:rPr>
        <w:t>Performance of this chemical sensor was tested in laboratory conditions</w:t>
      </w:r>
      <w:r w:rsidR="009C4799">
        <w:rPr>
          <w:rFonts w:ascii="Tw Cen MT" w:eastAsia="Tw Cen MT" w:hAnsi="Tw Cen MT" w:cs="Tw Cen MT"/>
          <w:sz w:val="18"/>
          <w:szCs w:val="18"/>
          <w:lang w:val="en-US"/>
        </w:rPr>
        <w:t xml:space="preserve"> (Figure 1b)</w:t>
      </w:r>
      <w:r w:rsidRPr="00364B02">
        <w:rPr>
          <w:rFonts w:ascii="Tw Cen MT" w:eastAsia="Tw Cen MT" w:hAnsi="Tw Cen MT" w:cs="Tw Cen MT"/>
          <w:sz w:val="18"/>
          <w:szCs w:val="18"/>
          <w:lang w:val="en-US"/>
        </w:rPr>
        <w:t>. Extended-gate field-effect transistor (EG-FET) sensor signals were measured towards aqueous solution of the PQQPFPQQ analyte, as well as its interferences with 1 or 2 mismatched amino acids.  Secondly, sensor response were measured towards PQQPFPQQ analyte in gluten digested  with pepsin in pH ≈ 2.  Finally, analytical parameters of the devised chemosensor were evaluated.</w:t>
      </w:r>
    </w:p>
    <w:p w:rsidR="009C4799" w:rsidRDefault="009C4799" w:rsidP="009C4799">
      <w:pPr>
        <w:pStyle w:val="Bezodstpw"/>
        <w:jc w:val="both"/>
        <w:rPr>
          <w:rFonts w:ascii="Tw Cen MT" w:eastAsia="Tw Cen MT" w:hAnsi="Tw Cen MT" w:cs="Tw Cen MT"/>
          <w:sz w:val="18"/>
          <w:szCs w:val="18"/>
          <w:lang w:val="en-US"/>
        </w:rPr>
      </w:pPr>
    </w:p>
    <w:p w:rsidR="009C4799" w:rsidRDefault="009C4799" w:rsidP="009C4799">
      <w:pPr>
        <w:pStyle w:val="Bezodstpw"/>
        <w:jc w:val="both"/>
        <w:rPr>
          <w:rFonts w:ascii="Tw Cen MT" w:eastAsia="Tw Cen MT" w:hAnsi="Tw Cen MT" w:cs="Tw Cen MT"/>
          <w:sz w:val="18"/>
          <w:szCs w:val="18"/>
          <w:lang w:val="en-US"/>
        </w:rPr>
      </w:pPr>
    </w:p>
    <w:p w:rsidR="0088620F" w:rsidRPr="001D7E51" w:rsidRDefault="001D7E51" w:rsidP="009C4799">
      <w:pPr>
        <w:pStyle w:val="Bezodstpw"/>
        <w:jc w:val="both"/>
        <w:rPr>
          <w:rFonts w:ascii="Tw Cen MT" w:eastAsia="Tw Cen MT" w:hAnsi="Tw Cen MT" w:cs="Tw Cen MT"/>
          <w:sz w:val="18"/>
          <w:szCs w:val="18"/>
          <w:lang w:val="en-US"/>
        </w:rPr>
      </w:pPr>
      <w:r w:rsidRPr="001D7E51">
        <w:rPr>
          <w:rFonts w:ascii="Tw Cen MT" w:eastAsia="Tw Cen MT" w:hAnsi="Tw Cen MT" w:cs="Tw Cen MT"/>
          <w:sz w:val="18"/>
          <w:szCs w:val="18"/>
          <w:lang w:val="en-US"/>
        </w:rPr>
        <w:t xml:space="preserve">The present research was </w:t>
      </w:r>
      <w:r>
        <w:rPr>
          <w:rFonts w:ascii="Tw Cen MT" w:eastAsia="Tw Cen MT" w:hAnsi="Tw Cen MT" w:cs="Tw Cen MT"/>
          <w:sz w:val="18"/>
          <w:szCs w:val="18"/>
          <w:lang w:val="en-US"/>
        </w:rPr>
        <w:t>supported</w:t>
      </w:r>
      <w:r w:rsidRPr="001D7E51">
        <w:rPr>
          <w:rFonts w:ascii="Tw Cen MT" w:eastAsia="Tw Cen MT" w:hAnsi="Tw Cen MT" w:cs="Tw Cen MT"/>
          <w:sz w:val="18"/>
          <w:szCs w:val="18"/>
          <w:lang w:val="en-US"/>
        </w:rPr>
        <w:t xml:space="preserve"> by the European Union’s Horizon 2020 research and innovation programme under the Marie </w:t>
      </w:r>
      <w:proofErr w:type="spellStart"/>
      <w:r w:rsidRPr="001D7E51">
        <w:rPr>
          <w:rFonts w:ascii="Tw Cen MT" w:eastAsia="Tw Cen MT" w:hAnsi="Tw Cen MT" w:cs="Tw Cen MT"/>
          <w:sz w:val="18"/>
          <w:szCs w:val="18"/>
          <w:lang w:val="en-US"/>
        </w:rPr>
        <w:t>Sklodowska</w:t>
      </w:r>
      <w:proofErr w:type="spellEnd"/>
      <w:r w:rsidRPr="001D7E51">
        <w:rPr>
          <w:rFonts w:ascii="Tw Cen MT" w:eastAsia="Tw Cen MT" w:hAnsi="Tw Cen MT" w:cs="Tw Cen MT"/>
          <w:sz w:val="18"/>
          <w:szCs w:val="18"/>
          <w:lang w:val="en-US"/>
        </w:rPr>
        <w:t>-Curie grant agreement No 752438</w:t>
      </w:r>
      <w:r>
        <w:rPr>
          <w:rFonts w:ascii="Tw Cen MT" w:eastAsia="Tw Cen MT" w:hAnsi="Tw Cen MT" w:cs="Tw Cen MT"/>
          <w:sz w:val="18"/>
          <w:szCs w:val="18"/>
          <w:lang w:val="en-US"/>
        </w:rPr>
        <w:t xml:space="preserve"> (GEMS)</w:t>
      </w:r>
      <w:r w:rsidRPr="001D7E51">
        <w:rPr>
          <w:rFonts w:ascii="Tw Cen MT" w:eastAsia="Tw Cen MT" w:hAnsi="Tw Cen MT" w:cs="Tw Cen MT"/>
          <w:sz w:val="18"/>
          <w:szCs w:val="18"/>
          <w:lang w:val="en-US"/>
        </w:rPr>
        <w:t>.</w:t>
      </w:r>
    </w:p>
    <w:p w:rsidR="00C7370C" w:rsidRDefault="00C7370C" w:rsidP="00C7370C">
      <w:pPr>
        <w:pStyle w:val="Bezodstpw"/>
        <w:ind w:firstLine="284"/>
        <w:jc w:val="both"/>
        <w:rPr>
          <w:rFonts w:ascii="Times New Roman" w:hAnsi="Times New Roman"/>
          <w:lang w:val="en-US"/>
        </w:rPr>
      </w:pPr>
    </w:p>
    <w:p w:rsidR="00AE3E37" w:rsidRDefault="00A9710C" w:rsidP="009C4799">
      <w:pPr>
        <w:pStyle w:val="Nagwek3"/>
        <w:spacing w:before="74"/>
        <w:ind w:left="0"/>
        <w:rPr>
          <w:b w:val="0"/>
          <w:sz w:val="16"/>
        </w:rPr>
      </w:pPr>
      <w:r>
        <w:rPr>
          <w:b w:val="0"/>
        </w:rPr>
        <w:br w:type="column"/>
      </w:r>
      <w:r w:rsidR="00EC7E90">
        <w:rPr>
          <w:noProof/>
          <w:lang w:val="pl-PL" w:eastAsia="pl-PL"/>
        </w:rPr>
        <w:drawing>
          <wp:inline distT="0" distB="0" distL="0" distR="0" wp14:anchorId="49BCBBFA" wp14:editId="68843B50">
            <wp:extent cx="3618346" cy="1485900"/>
            <wp:effectExtent l="0" t="0" r="127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3625" cy="1488068"/>
                    </a:xfrm>
                    <a:prstGeom prst="rect">
                      <a:avLst/>
                    </a:prstGeom>
                    <a:noFill/>
                    <a:ln>
                      <a:noFill/>
                    </a:ln>
                  </pic:spPr>
                </pic:pic>
              </a:graphicData>
            </a:graphic>
          </wp:inline>
        </w:drawing>
      </w:r>
    </w:p>
    <w:p w:rsidR="00EC7E90" w:rsidRDefault="00EC7E90" w:rsidP="00EC7E90">
      <w:pPr>
        <w:spacing w:line="204" w:lineRule="exact"/>
        <w:jc w:val="both"/>
        <w:rPr>
          <w:rFonts w:ascii="Arial"/>
          <w:b/>
          <w:color w:val="BF5A14"/>
          <w:sz w:val="20"/>
        </w:rPr>
      </w:pPr>
      <w:r w:rsidRPr="00EC0BC0">
        <w:rPr>
          <w:b/>
          <w:sz w:val="18"/>
          <w:szCs w:val="18"/>
        </w:rPr>
        <w:t>Figure 1.</w:t>
      </w:r>
      <w:r w:rsidRPr="00EC0BC0">
        <w:rPr>
          <w:sz w:val="18"/>
          <w:szCs w:val="18"/>
        </w:rPr>
        <w:t xml:space="preserve"> </w:t>
      </w:r>
      <w:r>
        <w:rPr>
          <w:sz w:val="18"/>
          <w:szCs w:val="18"/>
        </w:rPr>
        <w:t xml:space="preserve">(a) </w:t>
      </w:r>
      <w:r w:rsidRPr="00DA5E41">
        <w:rPr>
          <w:sz w:val="18"/>
          <w:szCs w:val="18"/>
        </w:rPr>
        <w:t xml:space="preserve">The current-potential curves for MIP-PQQPFPQQ film deposition by potentiodynamic electropolymerization on the 1-mm diameter Pt disk electrode in 0.1 mM solution of PQQPFPQQ template, </w:t>
      </w:r>
      <w:r>
        <w:rPr>
          <w:sz w:val="18"/>
          <w:szCs w:val="18"/>
        </w:rPr>
        <w:t>with functional and cross-linking monomers mixture</w:t>
      </w:r>
      <w:r w:rsidRPr="00DA5E41">
        <w:rPr>
          <w:sz w:val="18"/>
          <w:szCs w:val="18"/>
        </w:rPr>
        <w:t>, and 0.1 M (TBA)ClO</w:t>
      </w:r>
      <w:r w:rsidRPr="00DA5E41">
        <w:rPr>
          <w:sz w:val="18"/>
          <w:szCs w:val="18"/>
          <w:vertAlign w:val="subscript"/>
        </w:rPr>
        <w:t>4</w:t>
      </w:r>
      <w:r w:rsidRPr="00DA5E41">
        <w:rPr>
          <w:sz w:val="18"/>
          <w:szCs w:val="18"/>
        </w:rPr>
        <w:t xml:space="preserve"> in the acetonitrile-to-toluene solvent mixture of the 1 : 9 volume ratio.  The potential scan rate was 50 mV s</w:t>
      </w:r>
      <w:r w:rsidRPr="00DA5E41">
        <w:rPr>
          <w:sz w:val="18"/>
          <w:szCs w:val="18"/>
          <w:vertAlign w:val="superscript"/>
        </w:rPr>
        <w:t>-1</w:t>
      </w:r>
      <w:r w:rsidRPr="00DA5E41">
        <w:rPr>
          <w:sz w:val="18"/>
          <w:szCs w:val="18"/>
        </w:rPr>
        <w:t>.</w:t>
      </w:r>
      <w:r>
        <w:rPr>
          <w:sz w:val="18"/>
          <w:szCs w:val="18"/>
        </w:rPr>
        <w:t xml:space="preserve">; (b) </w:t>
      </w:r>
      <w:r w:rsidRPr="00EC0BC0">
        <w:rPr>
          <w:sz w:val="18"/>
          <w:szCs w:val="18"/>
        </w:rPr>
        <w:t xml:space="preserve">Calibration curves determined for gluten epitope PQQPFPQQ analyte using molecularly imprinted polymers (MIPs, </w:t>
      </w:r>
      <w:r w:rsidRPr="00EC0BC0">
        <w:rPr>
          <w:b/>
          <w:color w:val="FF0000"/>
          <w:sz w:val="18"/>
          <w:szCs w:val="18"/>
        </w:rPr>
        <w:t>red</w:t>
      </w:r>
      <w:r w:rsidRPr="00EC0BC0">
        <w:rPr>
          <w:color w:val="FF0000"/>
          <w:sz w:val="18"/>
          <w:szCs w:val="18"/>
        </w:rPr>
        <w:t xml:space="preserve"> </w:t>
      </w:r>
      <w:r w:rsidRPr="00EC0BC0">
        <w:rPr>
          <w:sz w:val="18"/>
          <w:szCs w:val="18"/>
        </w:rPr>
        <w:t xml:space="preserve">and </w:t>
      </w:r>
      <w:r w:rsidRPr="00EC0BC0">
        <w:rPr>
          <w:b/>
          <w:color w:val="D60093"/>
          <w:sz w:val="18"/>
          <w:szCs w:val="18"/>
        </w:rPr>
        <w:t>magenta</w:t>
      </w:r>
      <w:r w:rsidRPr="00EC0BC0">
        <w:rPr>
          <w:sz w:val="18"/>
          <w:szCs w:val="18"/>
        </w:rPr>
        <w:t xml:space="preserve"> curves) or non-imprinted polymer (NIP, </w:t>
      </w:r>
      <w:r w:rsidRPr="00EC0BC0">
        <w:rPr>
          <w:b/>
          <w:sz w:val="18"/>
          <w:szCs w:val="18"/>
        </w:rPr>
        <w:t>black</w:t>
      </w:r>
      <w:r w:rsidRPr="00EC0BC0">
        <w:rPr>
          <w:sz w:val="18"/>
          <w:szCs w:val="18"/>
        </w:rPr>
        <w:t xml:space="preserve"> curve) as recognition units and extended-gate field-effect transistors (EG-FETs) as transducers. All the measurements were performed for the gate voltage, </w:t>
      </w:r>
      <w:r w:rsidRPr="00EC0BC0">
        <w:rPr>
          <w:i/>
          <w:sz w:val="18"/>
          <w:szCs w:val="18"/>
        </w:rPr>
        <w:t>V</w:t>
      </w:r>
      <w:r w:rsidRPr="00EC0BC0">
        <w:rPr>
          <w:sz w:val="18"/>
          <w:szCs w:val="18"/>
          <w:vertAlign w:val="subscript"/>
        </w:rPr>
        <w:t>G</w:t>
      </w:r>
      <w:r w:rsidRPr="00EC0BC0">
        <w:rPr>
          <w:sz w:val="18"/>
          <w:szCs w:val="18"/>
        </w:rPr>
        <w:t xml:space="preserve"> = 1.5 V</w:t>
      </w:r>
    </w:p>
    <w:p w:rsidR="005973B9" w:rsidRPr="00F36624" w:rsidRDefault="005973B9" w:rsidP="00F36624">
      <w:pPr>
        <w:spacing w:line="204" w:lineRule="exact"/>
        <w:rPr>
          <w:rFonts w:ascii="Arial"/>
          <w:b/>
          <w:sz w:val="20"/>
        </w:rPr>
      </w:pPr>
      <w:r>
        <w:rPr>
          <w:rFonts w:ascii="Arial"/>
          <w:b/>
          <w:color w:val="BF5A14"/>
          <w:sz w:val="20"/>
        </w:rPr>
        <w:br/>
      </w:r>
      <w:r w:rsidR="00F36624">
        <w:rPr>
          <w:rFonts w:ascii="Arial"/>
          <w:b/>
          <w:color w:val="BF5A14"/>
          <w:sz w:val="20"/>
        </w:rPr>
        <w:t>References</w:t>
      </w:r>
    </w:p>
    <w:p w:rsidR="00364B02" w:rsidRPr="00364B02" w:rsidRDefault="00364B02" w:rsidP="00364B02">
      <w:pPr>
        <w:pStyle w:val="Bezodstpw"/>
        <w:numPr>
          <w:ilvl w:val="0"/>
          <w:numId w:val="3"/>
        </w:numPr>
        <w:jc w:val="both"/>
        <w:rPr>
          <w:rFonts w:ascii="Calibri" w:eastAsia="Calibri" w:hAnsi="Calibri" w:cs="Calibri"/>
          <w:sz w:val="18"/>
          <w:lang w:val="en-US"/>
        </w:rPr>
      </w:pPr>
      <w:r w:rsidRPr="00364B02">
        <w:rPr>
          <w:rFonts w:ascii="Calibri" w:eastAsia="Calibri" w:hAnsi="Calibri" w:cs="Calibri"/>
          <w:sz w:val="18"/>
          <w:lang w:val="en-US"/>
        </w:rPr>
        <w:t>K</w:t>
      </w:r>
      <w:r w:rsidR="00EB79EC">
        <w:rPr>
          <w:rFonts w:ascii="Calibri" w:eastAsia="Calibri" w:hAnsi="Calibri" w:cs="Calibri"/>
          <w:sz w:val="18"/>
          <w:lang w:val="en-US"/>
        </w:rPr>
        <w:t>.H. Long, et al. </w:t>
      </w:r>
      <w:r>
        <w:rPr>
          <w:rFonts w:ascii="Calibri" w:eastAsia="Calibri" w:hAnsi="Calibri" w:cs="Calibri"/>
          <w:sz w:val="18"/>
          <w:lang w:val="en-US"/>
        </w:rPr>
        <w:t>(2010)</w:t>
      </w:r>
      <w:r w:rsidR="003D308F">
        <w:rPr>
          <w:rFonts w:ascii="Calibri" w:eastAsia="Calibri" w:hAnsi="Calibri" w:cs="Calibri"/>
          <w:sz w:val="18"/>
          <w:lang w:val="en-US"/>
        </w:rPr>
        <w:t xml:space="preserve"> “</w:t>
      </w:r>
      <w:r w:rsidR="003D308F" w:rsidRPr="003D308F">
        <w:rPr>
          <w:rFonts w:ascii="Calibri" w:eastAsia="Calibri" w:hAnsi="Calibri" w:cs="Calibri"/>
          <w:sz w:val="18"/>
          <w:lang w:val="en-US"/>
        </w:rPr>
        <w:t xml:space="preserve">The economics of coeliac disease: a </w:t>
      </w:r>
      <w:proofErr w:type="spellStart"/>
      <w:r w:rsidR="003D308F" w:rsidRPr="003D308F">
        <w:rPr>
          <w:rFonts w:ascii="Calibri" w:eastAsia="Calibri" w:hAnsi="Calibri" w:cs="Calibri"/>
          <w:sz w:val="18"/>
          <w:lang w:val="en-US"/>
        </w:rPr>
        <w:t>popu</w:t>
      </w:r>
      <w:proofErr w:type="spellEnd"/>
      <w:r w:rsidR="00EB79EC">
        <w:rPr>
          <w:rFonts w:ascii="Calibri" w:eastAsia="Calibri" w:hAnsi="Calibri" w:cs="Calibri"/>
          <w:sz w:val="18"/>
          <w:lang w:val="en-US"/>
        </w:rPr>
        <w:t>-</w:t>
      </w:r>
      <w:proofErr w:type="spellStart"/>
      <w:r w:rsidR="003D308F" w:rsidRPr="003D308F">
        <w:rPr>
          <w:rFonts w:ascii="Calibri" w:eastAsia="Calibri" w:hAnsi="Calibri" w:cs="Calibri"/>
          <w:sz w:val="18"/>
          <w:lang w:val="en-US"/>
        </w:rPr>
        <w:t>lation</w:t>
      </w:r>
      <w:proofErr w:type="spellEnd"/>
      <w:r w:rsidR="003D308F" w:rsidRPr="003D308F">
        <w:rPr>
          <w:rFonts w:ascii="Calibri" w:eastAsia="Calibri" w:hAnsi="Calibri" w:cs="Calibri"/>
          <w:sz w:val="18"/>
          <w:lang w:val="en-US"/>
        </w:rPr>
        <w:t>-based study</w:t>
      </w:r>
      <w:r w:rsidR="003D308F">
        <w:rPr>
          <w:rFonts w:ascii="Calibri" w:eastAsia="Calibri" w:hAnsi="Calibri" w:cs="Calibri"/>
          <w:sz w:val="18"/>
          <w:lang w:val="en-US"/>
        </w:rPr>
        <w:t>”,</w:t>
      </w:r>
      <w:r>
        <w:rPr>
          <w:rFonts w:ascii="Calibri" w:eastAsia="Calibri" w:hAnsi="Calibri" w:cs="Calibri"/>
          <w:sz w:val="18"/>
          <w:lang w:val="en-US"/>
        </w:rPr>
        <w:t xml:space="preserve"> </w:t>
      </w:r>
      <w:r w:rsidRPr="00364B02">
        <w:rPr>
          <w:rFonts w:ascii="Calibri" w:eastAsia="Calibri" w:hAnsi="Calibri" w:cs="Calibri"/>
          <w:sz w:val="18"/>
          <w:lang w:val="en-US"/>
        </w:rPr>
        <w:t xml:space="preserve">Aliment. </w:t>
      </w:r>
      <w:proofErr w:type="spellStart"/>
      <w:r w:rsidRPr="00364B02">
        <w:rPr>
          <w:rFonts w:ascii="Calibri" w:eastAsia="Calibri" w:hAnsi="Calibri" w:cs="Calibri"/>
          <w:sz w:val="18"/>
          <w:lang w:val="en-US"/>
        </w:rPr>
        <w:t>Pharmacol</w:t>
      </w:r>
      <w:proofErr w:type="spellEnd"/>
      <w:r w:rsidRPr="00364B02">
        <w:rPr>
          <w:rFonts w:ascii="Calibri" w:eastAsia="Calibri" w:hAnsi="Calibri" w:cs="Calibri"/>
          <w:sz w:val="18"/>
          <w:lang w:val="en-US"/>
        </w:rPr>
        <w:t xml:space="preserve">. </w:t>
      </w:r>
      <w:proofErr w:type="spellStart"/>
      <w:r w:rsidRPr="00364B02">
        <w:rPr>
          <w:rFonts w:ascii="Calibri" w:eastAsia="Calibri" w:hAnsi="Calibri" w:cs="Calibri"/>
          <w:sz w:val="18"/>
          <w:lang w:val="en-US"/>
        </w:rPr>
        <w:t>Ther</w:t>
      </w:r>
      <w:proofErr w:type="spellEnd"/>
      <w:r w:rsidRPr="00364B02">
        <w:rPr>
          <w:rFonts w:ascii="Calibri" w:eastAsia="Calibri" w:hAnsi="Calibri" w:cs="Calibri"/>
          <w:sz w:val="18"/>
          <w:lang w:val="en-US"/>
        </w:rPr>
        <w:t xml:space="preserve">. 32, 261; </w:t>
      </w:r>
    </w:p>
    <w:p w:rsidR="00364B02" w:rsidRDefault="00EB79EC" w:rsidP="00364B02">
      <w:pPr>
        <w:pStyle w:val="Bezodstpw"/>
        <w:numPr>
          <w:ilvl w:val="0"/>
          <w:numId w:val="3"/>
        </w:numPr>
        <w:jc w:val="both"/>
        <w:rPr>
          <w:rFonts w:ascii="Calibri" w:eastAsia="Calibri" w:hAnsi="Calibri" w:cs="Calibri"/>
          <w:sz w:val="18"/>
          <w:lang w:val="en-US"/>
        </w:rPr>
      </w:pPr>
      <w:r>
        <w:rPr>
          <w:rFonts w:ascii="Calibri" w:eastAsia="Calibri" w:hAnsi="Calibri" w:cs="Calibri"/>
          <w:sz w:val="18"/>
          <w:lang w:val="en-US"/>
        </w:rPr>
        <w:t>P. S. Sharma, et </w:t>
      </w:r>
      <w:r w:rsidRPr="00EB79EC">
        <w:rPr>
          <w:rFonts w:ascii="Calibri" w:eastAsia="Calibri" w:hAnsi="Calibri" w:cs="Calibri"/>
          <w:sz w:val="18"/>
          <w:lang w:val="en-US"/>
        </w:rPr>
        <w:t>al.</w:t>
      </w:r>
      <w:r>
        <w:rPr>
          <w:rFonts w:ascii="Calibri" w:eastAsia="Calibri" w:hAnsi="Calibri" w:cs="Calibri"/>
          <w:sz w:val="18"/>
          <w:lang w:val="en-US"/>
        </w:rPr>
        <w:t xml:space="preserve"> (2015) “</w:t>
      </w:r>
      <w:r w:rsidRPr="00EB79EC">
        <w:rPr>
          <w:rFonts w:ascii="Calibri" w:eastAsia="Calibri" w:hAnsi="Calibri" w:cs="Calibri"/>
          <w:sz w:val="18"/>
          <w:lang w:val="en-US"/>
        </w:rPr>
        <w:t>Bioinspired intelligent molecularly imprinted polymers f</w:t>
      </w:r>
      <w:r>
        <w:rPr>
          <w:rFonts w:ascii="Calibri" w:eastAsia="Calibri" w:hAnsi="Calibri" w:cs="Calibri"/>
          <w:sz w:val="18"/>
          <w:lang w:val="en-US"/>
        </w:rPr>
        <w:t>or chemosensing: A mini review.”</w:t>
      </w:r>
      <w:r w:rsidRPr="00EB79EC">
        <w:rPr>
          <w:rFonts w:ascii="Calibri" w:eastAsia="Calibri" w:hAnsi="Calibri" w:cs="Calibri"/>
          <w:sz w:val="18"/>
          <w:lang w:val="en-US"/>
        </w:rPr>
        <w:t xml:space="preserve"> </w:t>
      </w:r>
      <w:proofErr w:type="spellStart"/>
      <w:r w:rsidRPr="00EB79EC">
        <w:rPr>
          <w:rFonts w:ascii="Calibri" w:eastAsia="Calibri" w:hAnsi="Calibri" w:cs="Calibri"/>
          <w:sz w:val="18"/>
          <w:lang w:val="en-US"/>
        </w:rPr>
        <w:t>Electrochem</w:t>
      </w:r>
      <w:proofErr w:type="spellEnd"/>
      <w:r w:rsidRPr="00EB79EC">
        <w:rPr>
          <w:rFonts w:ascii="Calibri" w:eastAsia="Calibri" w:hAnsi="Calibri" w:cs="Calibri"/>
          <w:sz w:val="18"/>
          <w:lang w:val="en-US"/>
        </w:rPr>
        <w:t xml:space="preserve">. </w:t>
      </w:r>
      <w:proofErr w:type="spellStart"/>
      <w:r w:rsidRPr="00EB79EC">
        <w:rPr>
          <w:rFonts w:ascii="Calibri" w:eastAsia="Calibri" w:hAnsi="Calibri" w:cs="Calibri"/>
          <w:sz w:val="18"/>
          <w:lang w:val="en-US"/>
        </w:rPr>
        <w:t>Commun</w:t>
      </w:r>
      <w:proofErr w:type="spellEnd"/>
      <w:r w:rsidRPr="00EB79EC">
        <w:rPr>
          <w:rFonts w:ascii="Calibri" w:eastAsia="Calibri" w:hAnsi="Calibri" w:cs="Calibri"/>
          <w:sz w:val="18"/>
          <w:lang w:val="en-US"/>
        </w:rPr>
        <w:t>. 50</w:t>
      </w:r>
      <w:r>
        <w:rPr>
          <w:rFonts w:ascii="Calibri" w:eastAsia="Calibri" w:hAnsi="Calibri" w:cs="Calibri"/>
          <w:sz w:val="18"/>
          <w:lang w:val="en-US"/>
        </w:rPr>
        <w:t>, 81;</w:t>
      </w:r>
    </w:p>
    <w:p w:rsidR="00364B02" w:rsidRPr="00EB79EC" w:rsidRDefault="00EB79EC" w:rsidP="00432564">
      <w:pPr>
        <w:pStyle w:val="Bezodstpw"/>
        <w:numPr>
          <w:ilvl w:val="0"/>
          <w:numId w:val="3"/>
        </w:numPr>
        <w:autoSpaceDE w:val="0"/>
        <w:autoSpaceDN w:val="0"/>
        <w:adjustRightInd w:val="0"/>
        <w:jc w:val="both"/>
        <w:rPr>
          <w:rFonts w:ascii="Calibri" w:eastAsia="Calibri" w:hAnsi="Calibri" w:cs="Calibri"/>
          <w:sz w:val="18"/>
          <w:lang w:val="en-US"/>
        </w:rPr>
      </w:pPr>
      <w:r w:rsidRPr="00EB79EC">
        <w:rPr>
          <w:rFonts w:ascii="Calibri" w:eastAsia="Calibri" w:hAnsi="Calibri" w:cs="Calibri"/>
          <w:sz w:val="18"/>
          <w:lang w:val="en-US"/>
        </w:rPr>
        <w:t>M</w:t>
      </w:r>
      <w:r>
        <w:rPr>
          <w:rFonts w:ascii="Calibri" w:eastAsia="Calibri" w:hAnsi="Calibri" w:cs="Calibri"/>
          <w:sz w:val="18"/>
          <w:lang w:val="en-US"/>
        </w:rPr>
        <w:t>. </w:t>
      </w:r>
      <w:r w:rsidR="00364B02" w:rsidRPr="00EB79EC">
        <w:rPr>
          <w:rFonts w:ascii="Calibri" w:eastAsia="Calibri" w:hAnsi="Calibri" w:cs="Calibri"/>
          <w:sz w:val="18"/>
          <w:lang w:val="en-US"/>
        </w:rPr>
        <w:t xml:space="preserve">J. </w:t>
      </w:r>
      <w:proofErr w:type="spellStart"/>
      <w:r w:rsidR="00364B02" w:rsidRPr="00EB79EC">
        <w:rPr>
          <w:rFonts w:ascii="Calibri" w:eastAsia="Calibri" w:hAnsi="Calibri" w:cs="Calibri"/>
          <w:sz w:val="18"/>
          <w:lang w:val="en-US"/>
        </w:rPr>
        <w:t>Whitcombe</w:t>
      </w:r>
      <w:proofErr w:type="spellEnd"/>
      <w:r w:rsidR="00364B02" w:rsidRPr="00EB79EC">
        <w:rPr>
          <w:rFonts w:ascii="Calibri" w:eastAsia="Calibri" w:hAnsi="Calibri" w:cs="Calibri"/>
          <w:sz w:val="18"/>
          <w:lang w:val="en-US"/>
        </w:rPr>
        <w:t>, et al. (2014)</w:t>
      </w:r>
      <w:r w:rsidRPr="00EB79EC">
        <w:rPr>
          <w:rFonts w:ascii="Calibri" w:eastAsia="Calibri" w:hAnsi="Calibri" w:cs="Calibri"/>
          <w:sz w:val="18"/>
          <w:lang w:val="en-US"/>
        </w:rPr>
        <w:t xml:space="preserve"> </w:t>
      </w:r>
      <w:r>
        <w:rPr>
          <w:rFonts w:ascii="Calibri" w:eastAsia="Calibri" w:hAnsi="Calibri" w:cs="Calibri"/>
          <w:sz w:val="18"/>
          <w:lang w:val="en-US"/>
        </w:rPr>
        <w:t>“</w:t>
      </w:r>
      <w:r w:rsidRPr="00EB79EC">
        <w:rPr>
          <w:rFonts w:ascii="Calibri" w:eastAsia="Calibri" w:hAnsi="Calibri" w:cs="Calibri"/>
          <w:sz w:val="18"/>
          <w:lang w:val="en-US"/>
        </w:rPr>
        <w:t>Size matters: challenges in imprinting macr</w:t>
      </w:r>
      <w:r>
        <w:rPr>
          <w:rFonts w:ascii="Calibri" w:eastAsia="Calibri" w:hAnsi="Calibri" w:cs="Calibri"/>
          <w:sz w:val="18"/>
          <w:lang w:val="en-US"/>
        </w:rPr>
        <w:t>omolecules.”</w:t>
      </w:r>
      <w:r w:rsidRPr="00EB79EC">
        <w:rPr>
          <w:rFonts w:ascii="Calibri" w:eastAsia="Calibri" w:hAnsi="Calibri" w:cs="Calibri"/>
          <w:sz w:val="18"/>
          <w:lang w:val="en-US"/>
        </w:rPr>
        <w:t xml:space="preserve"> </w:t>
      </w:r>
      <w:proofErr w:type="spellStart"/>
      <w:r w:rsidRPr="00EB79EC">
        <w:rPr>
          <w:rFonts w:ascii="Calibri" w:eastAsia="Calibri" w:hAnsi="Calibri" w:cs="Calibri"/>
          <w:sz w:val="18"/>
          <w:lang w:val="en-US"/>
        </w:rPr>
        <w:t>Prog</w:t>
      </w:r>
      <w:proofErr w:type="spellEnd"/>
      <w:r w:rsidRPr="00EB79EC">
        <w:rPr>
          <w:rFonts w:ascii="Calibri" w:eastAsia="Calibri" w:hAnsi="Calibri" w:cs="Calibri"/>
          <w:sz w:val="18"/>
          <w:lang w:val="en-US"/>
        </w:rPr>
        <w:t xml:space="preserve">. </w:t>
      </w:r>
      <w:proofErr w:type="spellStart"/>
      <w:r w:rsidRPr="00EB79EC">
        <w:rPr>
          <w:rFonts w:ascii="Calibri" w:eastAsia="Calibri" w:hAnsi="Calibri" w:cs="Calibri"/>
          <w:sz w:val="18"/>
          <w:lang w:val="en-US"/>
        </w:rPr>
        <w:t>Polym</w:t>
      </w:r>
      <w:proofErr w:type="spellEnd"/>
      <w:r w:rsidRPr="00EB79EC">
        <w:rPr>
          <w:rFonts w:ascii="Calibri" w:eastAsia="Calibri" w:hAnsi="Calibri" w:cs="Calibri"/>
          <w:sz w:val="18"/>
          <w:lang w:val="en-US"/>
        </w:rPr>
        <w:t>. Sci. 39</w:t>
      </w:r>
      <w:r>
        <w:rPr>
          <w:rFonts w:ascii="Calibri" w:eastAsia="Calibri" w:hAnsi="Calibri" w:cs="Calibri"/>
          <w:sz w:val="18"/>
          <w:lang w:val="en-US"/>
        </w:rPr>
        <w:t>, 145;</w:t>
      </w:r>
      <w:r w:rsidR="00364B02" w:rsidRPr="00EB79EC">
        <w:rPr>
          <w:rFonts w:ascii="Calibri" w:eastAsia="Calibri" w:hAnsi="Calibri" w:cs="Calibri"/>
          <w:sz w:val="18"/>
          <w:lang w:val="en-US"/>
        </w:rPr>
        <w:t xml:space="preserve"> </w:t>
      </w:r>
    </w:p>
    <w:p w:rsidR="00364B02" w:rsidRPr="000127E4" w:rsidRDefault="00364B02" w:rsidP="00364B02">
      <w:pPr>
        <w:pStyle w:val="Bezodstpw"/>
        <w:numPr>
          <w:ilvl w:val="0"/>
          <w:numId w:val="3"/>
        </w:numPr>
        <w:jc w:val="both"/>
        <w:rPr>
          <w:rFonts w:ascii="Calibri" w:eastAsia="Calibri" w:hAnsi="Calibri" w:cs="Calibri"/>
          <w:sz w:val="18"/>
          <w:lang w:val="en-US"/>
        </w:rPr>
      </w:pPr>
      <w:r w:rsidRPr="000127E4">
        <w:rPr>
          <w:rFonts w:ascii="Calibri" w:eastAsia="Calibri" w:hAnsi="Calibri" w:cs="Calibri"/>
          <w:sz w:val="18"/>
          <w:lang w:val="en-US"/>
        </w:rPr>
        <w:t>A</w:t>
      </w:r>
      <w:r w:rsidR="000127E4" w:rsidRPr="000127E4">
        <w:rPr>
          <w:rFonts w:ascii="Calibri" w:eastAsia="Calibri" w:hAnsi="Calibri" w:cs="Calibri"/>
          <w:sz w:val="18"/>
          <w:lang w:val="en-US"/>
        </w:rPr>
        <w:t xml:space="preserve">. </w:t>
      </w:r>
      <w:proofErr w:type="spellStart"/>
      <w:r w:rsidR="000127E4" w:rsidRPr="000127E4">
        <w:rPr>
          <w:rFonts w:ascii="Calibri" w:eastAsia="Calibri" w:hAnsi="Calibri" w:cs="Calibri"/>
          <w:sz w:val="18"/>
          <w:lang w:val="en-US"/>
        </w:rPr>
        <w:t>Bossi</w:t>
      </w:r>
      <w:proofErr w:type="spellEnd"/>
      <w:r w:rsidR="000127E4" w:rsidRPr="000127E4">
        <w:rPr>
          <w:rFonts w:ascii="Calibri" w:eastAsia="Calibri" w:hAnsi="Calibri" w:cs="Calibri"/>
          <w:sz w:val="18"/>
          <w:lang w:val="en-US"/>
        </w:rPr>
        <w:t xml:space="preserve"> et al.</w:t>
      </w:r>
      <w:r w:rsidRPr="000127E4">
        <w:rPr>
          <w:rFonts w:ascii="Calibri" w:eastAsia="Calibri" w:hAnsi="Calibri" w:cs="Calibri"/>
          <w:sz w:val="18"/>
          <w:lang w:val="en-US"/>
        </w:rPr>
        <w:t xml:space="preserve"> (200</w:t>
      </w:r>
      <w:r w:rsidR="000127E4">
        <w:rPr>
          <w:rFonts w:ascii="Calibri" w:eastAsia="Calibri" w:hAnsi="Calibri" w:cs="Calibri"/>
          <w:sz w:val="18"/>
          <w:lang w:val="en-US"/>
        </w:rPr>
        <w:t>7</w:t>
      </w:r>
      <w:r w:rsidRPr="000127E4">
        <w:rPr>
          <w:rFonts w:ascii="Calibri" w:eastAsia="Calibri" w:hAnsi="Calibri" w:cs="Calibri"/>
          <w:sz w:val="18"/>
          <w:lang w:val="en-US"/>
        </w:rPr>
        <w:t xml:space="preserve">) </w:t>
      </w:r>
      <w:r w:rsidR="000127E4" w:rsidRPr="000127E4">
        <w:rPr>
          <w:rFonts w:ascii="Calibri" w:eastAsia="Calibri" w:hAnsi="Calibri" w:cs="Calibri"/>
          <w:sz w:val="18"/>
          <w:lang w:val="en-US"/>
        </w:rPr>
        <w:t xml:space="preserve">“Molecularly imprinted polymers for the recognition of </w:t>
      </w:r>
      <w:r w:rsidR="000127E4">
        <w:rPr>
          <w:rFonts w:ascii="Calibri" w:eastAsia="Calibri" w:hAnsi="Calibri" w:cs="Calibri"/>
          <w:sz w:val="18"/>
          <w:lang w:val="en-US"/>
        </w:rPr>
        <w:t>proteins: The state of the art.</w:t>
      </w:r>
      <w:r w:rsidR="000127E4" w:rsidRPr="000127E4">
        <w:rPr>
          <w:rFonts w:ascii="Calibri" w:eastAsia="Calibri" w:hAnsi="Calibri" w:cs="Calibri"/>
          <w:sz w:val="18"/>
          <w:lang w:val="en-US"/>
        </w:rPr>
        <w:t xml:space="preserve"> </w:t>
      </w:r>
      <w:r w:rsidR="000127E4">
        <w:rPr>
          <w:rFonts w:ascii="Calibri" w:eastAsia="Calibri" w:hAnsi="Calibri" w:cs="Calibri"/>
          <w:sz w:val="18"/>
          <w:lang w:val="en-US"/>
        </w:rPr>
        <w:t>”</w:t>
      </w:r>
      <w:r w:rsidR="000127E4" w:rsidRPr="000127E4">
        <w:rPr>
          <w:rFonts w:ascii="Calibri" w:eastAsia="Calibri" w:hAnsi="Calibri" w:cs="Calibri"/>
          <w:sz w:val="18"/>
          <w:lang w:val="en-US"/>
        </w:rPr>
        <w:t xml:space="preserve"> </w:t>
      </w:r>
      <w:proofErr w:type="spellStart"/>
      <w:r w:rsidR="000127E4" w:rsidRPr="000127E4">
        <w:rPr>
          <w:rFonts w:ascii="Calibri" w:eastAsia="Calibri" w:hAnsi="Calibri" w:cs="Calibri"/>
          <w:sz w:val="18"/>
          <w:lang w:val="en-US"/>
        </w:rPr>
        <w:t>Biosens</w:t>
      </w:r>
      <w:proofErr w:type="spellEnd"/>
      <w:r w:rsidR="000127E4" w:rsidRPr="000127E4">
        <w:rPr>
          <w:rFonts w:ascii="Calibri" w:eastAsia="Calibri" w:hAnsi="Calibri" w:cs="Calibri"/>
          <w:sz w:val="18"/>
          <w:lang w:val="en-US"/>
        </w:rPr>
        <w:t xml:space="preserve">. </w:t>
      </w:r>
      <w:proofErr w:type="spellStart"/>
      <w:r w:rsidR="000127E4" w:rsidRPr="000127E4">
        <w:rPr>
          <w:rFonts w:ascii="Calibri" w:eastAsia="Calibri" w:hAnsi="Calibri" w:cs="Calibri"/>
          <w:sz w:val="18"/>
          <w:lang w:val="en-US"/>
        </w:rPr>
        <w:t>Bioelectron</w:t>
      </w:r>
      <w:proofErr w:type="spellEnd"/>
      <w:r w:rsidR="000127E4" w:rsidRPr="000127E4">
        <w:rPr>
          <w:rFonts w:ascii="Calibri" w:eastAsia="Calibri" w:hAnsi="Calibri" w:cs="Calibri"/>
          <w:sz w:val="18"/>
          <w:lang w:val="en-US"/>
        </w:rPr>
        <w:t xml:space="preserve">. </w:t>
      </w:r>
      <w:r w:rsidRPr="000127E4">
        <w:rPr>
          <w:rFonts w:ascii="Calibri" w:eastAsia="Calibri" w:hAnsi="Calibri" w:cs="Calibri"/>
          <w:sz w:val="18"/>
          <w:lang w:val="en-US"/>
        </w:rPr>
        <w:t xml:space="preserve">22, 1131; </w:t>
      </w:r>
    </w:p>
    <w:p w:rsidR="00AE3E37" w:rsidRPr="009C4799" w:rsidRDefault="00364B02" w:rsidP="00364B02">
      <w:pPr>
        <w:pStyle w:val="Bezodstpw"/>
        <w:numPr>
          <w:ilvl w:val="0"/>
          <w:numId w:val="3"/>
        </w:numPr>
        <w:jc w:val="both"/>
        <w:rPr>
          <w:rFonts w:ascii="Calibri" w:eastAsia="Calibri" w:hAnsi="Calibri" w:cs="Calibri"/>
          <w:sz w:val="18"/>
          <w:lang w:val="en-US"/>
        </w:rPr>
      </w:pPr>
      <w:r w:rsidRPr="009C4799">
        <w:rPr>
          <w:rFonts w:ascii="Calibri" w:eastAsia="Calibri" w:hAnsi="Calibri" w:cs="Calibri"/>
          <w:sz w:val="18"/>
          <w:lang w:val="en-US"/>
        </w:rPr>
        <w:t xml:space="preserve">A. </w:t>
      </w:r>
      <w:proofErr w:type="spellStart"/>
      <w:r w:rsidRPr="009C4799">
        <w:rPr>
          <w:rFonts w:ascii="Calibri" w:eastAsia="Calibri" w:hAnsi="Calibri" w:cs="Calibri"/>
          <w:sz w:val="18"/>
          <w:lang w:val="en-US"/>
        </w:rPr>
        <w:t>Bossi</w:t>
      </w:r>
      <w:proofErr w:type="spellEnd"/>
      <w:r w:rsidRPr="009C4799">
        <w:rPr>
          <w:rFonts w:ascii="Calibri" w:eastAsia="Calibri" w:hAnsi="Calibri" w:cs="Calibri"/>
          <w:sz w:val="18"/>
          <w:lang w:val="en-US"/>
        </w:rPr>
        <w:t xml:space="preserve"> et al. (2012) </w:t>
      </w:r>
      <w:r w:rsidR="009C4799" w:rsidRPr="009C4799">
        <w:rPr>
          <w:rFonts w:ascii="Calibri" w:eastAsia="Calibri" w:hAnsi="Calibri" w:cs="Calibri"/>
          <w:sz w:val="18"/>
          <w:lang w:val="en-US"/>
        </w:rPr>
        <w:t xml:space="preserve">“Fingerprint imprinted polymer (FIP): Rational selection of peptide epitope templates for the determination of proteins by molecularly imprinted polymers.” </w:t>
      </w:r>
      <w:r w:rsidRPr="009C4799">
        <w:rPr>
          <w:rFonts w:ascii="Calibri" w:eastAsia="Calibri" w:hAnsi="Calibri" w:cs="Calibri"/>
          <w:sz w:val="18"/>
          <w:lang w:val="en-US"/>
        </w:rPr>
        <w:t xml:space="preserve">Anal. Chem. 84, 4036.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8E45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75A9F">
        <w:rPr>
          <w:noProof/>
          <w:lang w:val="pl-PL" w:eastAsia="pl-PL"/>
        </w:rPr>
        <w:drawing>
          <wp:inline distT="0" distB="0" distL="0" distR="0">
            <wp:extent cx="626400" cy="626400"/>
            <wp:effectExtent l="0" t="0" r="254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400" cy="626400"/>
                    </a:xfrm>
                    <a:prstGeom prst="rect">
                      <a:avLst/>
                    </a:prstGeom>
                    <a:noFill/>
                    <a:ln>
                      <a:noFill/>
                    </a:ln>
                  </pic:spPr>
                </pic:pic>
              </a:graphicData>
            </a:graphic>
          </wp:inline>
        </w:drawing>
      </w:r>
      <w:r w:rsidR="00075A9F" w:rsidRPr="00E868FD">
        <w:rPr>
          <w:noProof/>
          <w:lang w:eastAsia="pl-PL"/>
        </w:rPr>
        <w:t xml:space="preserve"> </w:t>
      </w:r>
      <w:r w:rsidR="00A9710C">
        <w:rPr>
          <w:rFonts w:ascii="Arial"/>
          <w:color w:val="BF5A14"/>
        </w:rPr>
        <w:t>Biography</w:t>
      </w:r>
      <w:r w:rsidR="00404E5B">
        <w:rPr>
          <w:rFonts w:ascii="Arial"/>
          <w:color w:val="BF5A14"/>
        </w:rPr>
        <w:t xml:space="preserve"> (150 word limit)</w:t>
      </w:r>
    </w:p>
    <w:p w:rsidR="00311E7B" w:rsidRPr="00E868FD" w:rsidRDefault="00311E7B">
      <w:pPr>
        <w:spacing w:before="41" w:line="154" w:lineRule="exact"/>
        <w:ind w:left="213" w:right="231"/>
        <w:jc w:val="both"/>
        <w:rPr>
          <w:rFonts w:ascii="Arial"/>
          <w:sz w:val="14"/>
        </w:rPr>
      </w:pPr>
      <w:r w:rsidRPr="00E868FD">
        <w:rPr>
          <w:rFonts w:ascii="Arial"/>
          <w:sz w:val="14"/>
        </w:rPr>
        <w:t xml:space="preserve">Zofia Iskierko </w:t>
      </w:r>
      <w:r w:rsidR="00E868FD" w:rsidRPr="00E868FD">
        <w:rPr>
          <w:rFonts w:ascii="Arial"/>
          <w:sz w:val="14"/>
        </w:rPr>
        <w:t xml:space="preserve">graduated </w:t>
      </w:r>
      <w:r w:rsidR="00E868FD">
        <w:rPr>
          <w:rFonts w:ascii="Arial"/>
          <w:sz w:val="14"/>
        </w:rPr>
        <w:t xml:space="preserve">in </w:t>
      </w:r>
      <w:r w:rsidR="009B332C">
        <w:rPr>
          <w:rFonts w:ascii="Arial"/>
          <w:sz w:val="14"/>
        </w:rPr>
        <w:t>Chemistry Department of Maria Curie-</w:t>
      </w:r>
      <w:proofErr w:type="spellStart"/>
      <w:r w:rsidR="009B332C">
        <w:rPr>
          <w:rFonts w:ascii="Arial"/>
          <w:sz w:val="14"/>
        </w:rPr>
        <w:t>Sklodowska</w:t>
      </w:r>
      <w:proofErr w:type="spellEnd"/>
      <w:r w:rsidR="009B332C">
        <w:rPr>
          <w:rFonts w:ascii="Arial"/>
          <w:sz w:val="14"/>
        </w:rPr>
        <w:t xml:space="preserve"> University in Lublin, </w:t>
      </w:r>
      <w:r w:rsidR="00E868FD">
        <w:rPr>
          <w:rFonts w:ascii="Arial"/>
          <w:sz w:val="14"/>
        </w:rPr>
        <w:t xml:space="preserve">Poland, in </w:t>
      </w:r>
      <w:r w:rsidR="009B332C">
        <w:rPr>
          <w:rFonts w:ascii="Arial"/>
          <w:sz w:val="14"/>
        </w:rPr>
        <w:t>2008</w:t>
      </w:r>
      <w:r w:rsidR="00385432">
        <w:rPr>
          <w:rFonts w:ascii="Arial"/>
          <w:sz w:val="14"/>
        </w:rPr>
        <w:t>, and received her PhD degree in chemistry in</w:t>
      </w:r>
      <w:r w:rsidR="00385432" w:rsidRPr="00385432">
        <w:rPr>
          <w:rFonts w:ascii="Arial"/>
          <w:sz w:val="14"/>
        </w:rPr>
        <w:t xml:space="preserve"> </w:t>
      </w:r>
      <w:r w:rsidR="00385432">
        <w:rPr>
          <w:rFonts w:ascii="Arial"/>
          <w:sz w:val="14"/>
        </w:rPr>
        <w:t>Institute of Physical Chemistry of Polish Academy of Sciences</w:t>
      </w:r>
      <w:r w:rsidR="007A4103">
        <w:rPr>
          <w:rFonts w:ascii="Arial"/>
          <w:sz w:val="14"/>
        </w:rPr>
        <w:t xml:space="preserve"> (IPC, PAS)</w:t>
      </w:r>
      <w:r w:rsidR="00385432">
        <w:rPr>
          <w:rFonts w:ascii="Arial"/>
          <w:sz w:val="14"/>
        </w:rPr>
        <w:t xml:space="preserve"> in Warsaw, Poland, in June 2017.</w:t>
      </w:r>
      <w:r w:rsidR="007A4103">
        <w:rPr>
          <w:rFonts w:ascii="Arial"/>
          <w:sz w:val="14"/>
        </w:rPr>
        <w:t xml:space="preserve"> M</w:t>
      </w:r>
      <w:r w:rsidR="007A4103" w:rsidRPr="007A4103">
        <w:rPr>
          <w:rFonts w:ascii="Arial"/>
          <w:sz w:val="14"/>
        </w:rPr>
        <w:t xml:space="preserve">olecularly imprinted polymer (MIP) based chemosensors </w:t>
      </w:r>
      <w:r w:rsidR="007A4103">
        <w:rPr>
          <w:rFonts w:ascii="Arial"/>
          <w:sz w:val="14"/>
        </w:rPr>
        <w:t xml:space="preserve">have been her main topic of researches since 2012, when she joined the </w:t>
      </w:r>
      <w:proofErr w:type="spellStart"/>
      <w:r w:rsidR="007A4103">
        <w:rPr>
          <w:rFonts w:ascii="Arial"/>
          <w:sz w:val="14"/>
        </w:rPr>
        <w:t>Kutner</w:t>
      </w:r>
      <w:r w:rsidR="007A4103">
        <w:rPr>
          <w:rFonts w:ascii="Arial"/>
          <w:sz w:val="14"/>
        </w:rPr>
        <w:t>’</w:t>
      </w:r>
      <w:r w:rsidR="007A4103">
        <w:rPr>
          <w:rFonts w:ascii="Arial"/>
          <w:sz w:val="14"/>
        </w:rPr>
        <w:t>s</w:t>
      </w:r>
      <w:proofErr w:type="spellEnd"/>
      <w:r w:rsidR="007A4103">
        <w:rPr>
          <w:rFonts w:ascii="Arial"/>
          <w:sz w:val="14"/>
        </w:rPr>
        <w:t xml:space="preserve"> Group at IPC PAS. Now she is the Marie Curie Fellow at the</w:t>
      </w:r>
      <w:r w:rsidR="007A4103">
        <w:rPr>
          <w:rFonts w:ascii="Arial"/>
          <w:sz w:val="14"/>
        </w:rPr>
        <w:t> </w:t>
      </w:r>
      <w:r w:rsidR="007A4103">
        <w:rPr>
          <w:rFonts w:ascii="Arial"/>
          <w:sz w:val="14"/>
        </w:rPr>
        <w:t xml:space="preserve">Biotechnology Department of University of Verona, Italy, where she has started her researches on gluten epitope chemosensor under prof. Alessandra Maria </w:t>
      </w:r>
      <w:proofErr w:type="spellStart"/>
      <w:r w:rsidR="007A4103">
        <w:rPr>
          <w:rFonts w:ascii="Arial"/>
          <w:sz w:val="14"/>
        </w:rPr>
        <w:t>Bossi</w:t>
      </w:r>
      <w:proofErr w:type="spellEnd"/>
      <w:r w:rsidR="007A4103">
        <w:rPr>
          <w:rFonts w:ascii="Arial"/>
          <w:sz w:val="14"/>
        </w:rPr>
        <w:t xml:space="preserve"> supervision since January 2018.</w:t>
      </w:r>
    </w:p>
    <w:p w:rsidR="00AE3E37" w:rsidRDefault="00A9710C">
      <w:pPr>
        <w:spacing w:before="62"/>
        <w:ind w:left="4217" w:right="4235"/>
        <w:jc w:val="center"/>
        <w:rPr>
          <w:rFonts w:ascii="Arial"/>
          <w:sz w:val="14"/>
        </w:rPr>
      </w:pPr>
      <w:r>
        <w:rPr>
          <w:rFonts w:ascii="Arial"/>
          <w:sz w:val="14"/>
        </w:rPr>
        <w:t xml:space="preserve">Email: </w:t>
      </w:r>
      <w:hyperlink r:id="rId12" w:history="1">
        <w:r w:rsidR="00284381" w:rsidRPr="00E379FB">
          <w:rPr>
            <w:rStyle w:val="Hipercze"/>
            <w:rFonts w:ascii="Arial"/>
            <w:sz w:val="14"/>
          </w:rPr>
          <w:t>zofiaewa.iskierko@</w:t>
        </w:r>
      </w:hyperlink>
      <w:r w:rsidR="00284381">
        <w:rPr>
          <w:rStyle w:val="Hipercze"/>
          <w:rFonts w:ascii="Arial"/>
          <w:sz w:val="14"/>
        </w:rPr>
        <w:t>univr.it</w:t>
      </w:r>
    </w:p>
    <w:p w:rsidR="00AE3E37" w:rsidRDefault="00292ED9">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A026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E8B" w:rsidRDefault="00B11E8B">
      <w:r>
        <w:separator/>
      </w:r>
    </w:p>
  </w:endnote>
  <w:endnote w:type="continuationSeparator" w:id="0">
    <w:p w:rsidR="00B11E8B" w:rsidRDefault="00B11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611" w:rsidRDefault="00553611">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611" w:rsidRPr="005B3A56" w:rsidRDefault="0055361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53611" w:rsidRPr="005B3A56" w:rsidRDefault="00553611">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553611" w:rsidRPr="005B3A56" w:rsidRDefault="0055361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53611" w:rsidRPr="005B3A56" w:rsidRDefault="00553611">
                    <w:pPr>
                      <w:spacing w:before="8"/>
                      <w:ind w:left="20" w:right="-12"/>
                      <w:rPr>
                        <w:rFonts w:ascii="Arial"/>
                        <w:color w:val="FFFFFF" w:themeColor="background1"/>
                        <w:sz w:val="16"/>
                      </w:rPr>
                    </w:pP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611" w:rsidRPr="005B3A56" w:rsidRDefault="0055361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53611" w:rsidRPr="005B3A56" w:rsidRDefault="0055361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553611" w:rsidRPr="005B3A56" w:rsidRDefault="0055361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53611" w:rsidRPr="005B3A56" w:rsidRDefault="0055361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611" w:rsidRPr="005B3A56" w:rsidRDefault="0055361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553611" w:rsidRPr="005B3A56" w:rsidRDefault="0055361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E8B" w:rsidRDefault="00B11E8B">
      <w:r>
        <w:separator/>
      </w:r>
    </w:p>
  </w:footnote>
  <w:footnote w:type="continuationSeparator" w:id="0">
    <w:p w:rsidR="00B11E8B" w:rsidRDefault="00B11E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611" w:rsidRDefault="00553611">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611" w:rsidRPr="001D7E51" w:rsidRDefault="00553611">
                          <w:pPr>
                            <w:spacing w:before="2" w:line="249" w:lineRule="auto"/>
                            <w:ind w:left="156" w:right="18" w:hanging="137"/>
                            <w:rPr>
                              <w:rFonts w:ascii="Arial"/>
                              <w:color w:val="FF0000"/>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553611" w:rsidRPr="001D7E51" w:rsidRDefault="00553611">
                    <w:pPr>
                      <w:spacing w:before="2" w:line="249" w:lineRule="auto"/>
                      <w:ind w:left="156" w:right="18" w:hanging="137"/>
                      <w:rPr>
                        <w:rFonts w:ascii="Arial"/>
                        <w:color w:val="FF0000"/>
                        <w:sz w:val="14"/>
                      </w:rPr>
                    </w:pP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611" w:rsidRPr="005B3A56" w:rsidRDefault="00553611">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53611" w:rsidRPr="005B3A56" w:rsidRDefault="0055361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553611" w:rsidRPr="005B3A56" w:rsidRDefault="00553611">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53611" w:rsidRPr="005B3A56" w:rsidRDefault="0055361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7E4"/>
    <w:rsid w:val="00075A9F"/>
    <w:rsid w:val="00085F1D"/>
    <w:rsid w:val="000E2911"/>
    <w:rsid w:val="001000A1"/>
    <w:rsid w:val="001263DF"/>
    <w:rsid w:val="001D7E51"/>
    <w:rsid w:val="00281D22"/>
    <w:rsid w:val="00284381"/>
    <w:rsid w:val="00287E8E"/>
    <w:rsid w:val="00292ED9"/>
    <w:rsid w:val="00311E7B"/>
    <w:rsid w:val="003255B1"/>
    <w:rsid w:val="00364B02"/>
    <w:rsid w:val="00385432"/>
    <w:rsid w:val="003D308F"/>
    <w:rsid w:val="00404E5B"/>
    <w:rsid w:val="00414F7B"/>
    <w:rsid w:val="004355DC"/>
    <w:rsid w:val="004749B4"/>
    <w:rsid w:val="00494130"/>
    <w:rsid w:val="004E4ED7"/>
    <w:rsid w:val="004F3523"/>
    <w:rsid w:val="00553611"/>
    <w:rsid w:val="005973B9"/>
    <w:rsid w:val="005B3A56"/>
    <w:rsid w:val="005B3D8A"/>
    <w:rsid w:val="006060CE"/>
    <w:rsid w:val="0063497F"/>
    <w:rsid w:val="007A4103"/>
    <w:rsid w:val="00873DF0"/>
    <w:rsid w:val="008756E6"/>
    <w:rsid w:val="0088620F"/>
    <w:rsid w:val="009B2D44"/>
    <w:rsid w:val="009B332C"/>
    <w:rsid w:val="009C4799"/>
    <w:rsid w:val="009F47E4"/>
    <w:rsid w:val="00A07E82"/>
    <w:rsid w:val="00A34F02"/>
    <w:rsid w:val="00A9710C"/>
    <w:rsid w:val="00AE3E37"/>
    <w:rsid w:val="00B11E8B"/>
    <w:rsid w:val="00B21A57"/>
    <w:rsid w:val="00C00151"/>
    <w:rsid w:val="00C33602"/>
    <w:rsid w:val="00C7370C"/>
    <w:rsid w:val="00CC6FE8"/>
    <w:rsid w:val="00CD6F55"/>
    <w:rsid w:val="00CE7A1D"/>
    <w:rsid w:val="00DE3104"/>
    <w:rsid w:val="00E868FD"/>
    <w:rsid w:val="00EB79EC"/>
    <w:rsid w:val="00EC7E90"/>
    <w:rsid w:val="00F36624"/>
    <w:rsid w:val="00F72EEA"/>
    <w:rsid w:val="00F84CAE"/>
    <w:rsid w:val="00FB1F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6E1CE9-547F-4967-BD7C-C27D349F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Bezodstpw">
    <w:name w:val="No Spacing"/>
    <w:link w:val="BezodstpwZnak"/>
    <w:uiPriority w:val="1"/>
    <w:qFormat/>
    <w:rsid w:val="004E4ED7"/>
    <w:pPr>
      <w:widowControl/>
    </w:pPr>
    <w:rPr>
      <w:rFonts w:eastAsia="Times New Roman" w:cs="Times New Roman"/>
      <w:lang w:val="pl-PL"/>
    </w:rPr>
  </w:style>
  <w:style w:type="character" w:styleId="Odwoaniedokomentarza">
    <w:name w:val="annotation reference"/>
    <w:basedOn w:val="Domylnaczcionkaakapitu"/>
    <w:uiPriority w:val="99"/>
    <w:semiHidden/>
    <w:unhideWhenUsed/>
    <w:rsid w:val="004E4ED7"/>
    <w:rPr>
      <w:sz w:val="16"/>
      <w:szCs w:val="16"/>
    </w:rPr>
  </w:style>
  <w:style w:type="paragraph" w:styleId="Tekstkomentarza">
    <w:name w:val="annotation text"/>
    <w:basedOn w:val="Normalny"/>
    <w:link w:val="TekstkomentarzaZnak"/>
    <w:uiPriority w:val="99"/>
    <w:semiHidden/>
    <w:unhideWhenUsed/>
    <w:rsid w:val="004E4ED7"/>
    <w:pPr>
      <w:widowControl/>
      <w:spacing w:after="200"/>
    </w:pPr>
    <w:rPr>
      <w:rFonts w:asciiTheme="minorHAnsi" w:eastAsia="Times New Roman" w:hAnsiTheme="minorHAnsi" w:cs="Times New Roman"/>
      <w:sz w:val="20"/>
      <w:szCs w:val="20"/>
      <w:lang w:val="pl-PL"/>
    </w:rPr>
  </w:style>
  <w:style w:type="character" w:customStyle="1" w:styleId="TekstkomentarzaZnak">
    <w:name w:val="Tekst komentarza Znak"/>
    <w:basedOn w:val="Domylnaczcionkaakapitu"/>
    <w:link w:val="Tekstkomentarza"/>
    <w:uiPriority w:val="99"/>
    <w:semiHidden/>
    <w:rsid w:val="004E4ED7"/>
    <w:rPr>
      <w:rFonts w:eastAsia="Times New Roman" w:cs="Times New Roman"/>
      <w:sz w:val="20"/>
      <w:szCs w:val="20"/>
      <w:lang w:val="pl-PL"/>
    </w:rPr>
  </w:style>
  <w:style w:type="character" w:customStyle="1" w:styleId="BezodstpwZnak">
    <w:name w:val="Bez odstępów Znak"/>
    <w:basedOn w:val="Domylnaczcionkaakapitu"/>
    <w:link w:val="Bezodstpw"/>
    <w:uiPriority w:val="1"/>
    <w:rsid w:val="005B3D8A"/>
    <w:rPr>
      <w:rFonts w:eastAsia="Times New Roman" w:cs="Times New Roman"/>
      <w:lang w:val="pl-PL"/>
    </w:rPr>
  </w:style>
  <w:style w:type="paragraph" w:customStyle="1" w:styleId="EndNoteBibliography">
    <w:name w:val="EndNote Bibliography"/>
    <w:basedOn w:val="Normalny"/>
    <w:link w:val="EndNoteBibliographyZnak"/>
    <w:rsid w:val="005B3D8A"/>
    <w:pPr>
      <w:widowControl/>
      <w:spacing w:after="200"/>
    </w:pPr>
    <w:rPr>
      <w:rFonts w:ascii="Calibri" w:eastAsia="Times New Roman" w:hAnsi="Calibri" w:cs="Calibri"/>
      <w:noProof/>
      <w:szCs w:val="20"/>
      <w:lang w:val="pl-PL"/>
    </w:rPr>
  </w:style>
  <w:style w:type="character" w:customStyle="1" w:styleId="EndNoteBibliographyZnak">
    <w:name w:val="EndNote Bibliography Znak"/>
    <w:basedOn w:val="BezodstpwZnak"/>
    <w:link w:val="EndNoteBibliography"/>
    <w:rsid w:val="005B3D8A"/>
    <w:rPr>
      <w:rFonts w:ascii="Calibri" w:eastAsia="Times New Roman" w:hAnsi="Calibri" w:cs="Calibri"/>
      <w:noProof/>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ofiaewa.iskierk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DBFAC23-5343-463F-BC70-F1BC4E1DA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Pages>
  <Words>754</Words>
  <Characters>4528</Characters>
  <Application>Microsoft Office Word</Application>
  <DocSecurity>0</DocSecurity>
  <Lines>37</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Zofia Iskierko</cp:lastModifiedBy>
  <cp:revision>24</cp:revision>
  <dcterms:created xsi:type="dcterms:W3CDTF">2016-08-31T10:27:00Z</dcterms:created>
  <dcterms:modified xsi:type="dcterms:W3CDTF">2018-03-01T16:06:00Z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