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6EDB" w:rsidRPr="00DE6EDB" w:rsidRDefault="00DE6EDB" w:rsidP="00DE6EDB">
      <w:pPr>
        <w:bidi w:val="0"/>
        <w:spacing w:line="360" w:lineRule="auto"/>
        <w:jc w:val="center"/>
        <w:rPr>
          <w:rFonts w:ascii="Arial" w:hAnsi="Arial" w:cs="Arial"/>
          <w:lang w:bidi="ar-EG"/>
        </w:rPr>
      </w:pPr>
      <w:r w:rsidRPr="00DE6EDB">
        <w:rPr>
          <w:rStyle w:val="a"/>
          <w:rFonts w:ascii="Arial" w:hAnsi="Arial" w:cs="Arial"/>
        </w:rPr>
        <w:t xml:space="preserve">Kinetic potential on the effect of soil temperature regimes on the desorption and remediation of PTE’s in soils irrigated with sewage effluent for </w:t>
      </w:r>
      <w:r w:rsidRPr="00DE6EDB">
        <w:rPr>
          <w:rFonts w:ascii="Arial" w:hAnsi="Arial" w:cs="Arial"/>
          <w:lang w:bidi="ar-EG"/>
        </w:rPr>
        <w:t>long-lasting periods</w:t>
      </w:r>
    </w:p>
    <w:p w:rsidR="00DE6EDB" w:rsidRPr="00DE6EDB" w:rsidRDefault="00DE6EDB" w:rsidP="00DE6EDB">
      <w:pPr>
        <w:bidi w:val="0"/>
        <w:spacing w:line="360" w:lineRule="auto"/>
        <w:jc w:val="center"/>
        <w:rPr>
          <w:rFonts w:ascii="Arial" w:hAnsi="Arial" w:cs="Arial"/>
          <w:lang w:bidi="ar-EG"/>
        </w:rPr>
      </w:pPr>
      <w:r w:rsidRPr="00DE6EDB">
        <w:rPr>
          <w:rFonts w:ascii="Arial" w:hAnsi="Arial" w:cs="Arial"/>
          <w:sz w:val="22"/>
          <w:szCs w:val="22"/>
          <w:lang w:bidi="ar-EG"/>
        </w:rPr>
        <w:t>Saber, M</w:t>
      </w:r>
      <w:r w:rsidRPr="00DE6EDB">
        <w:rPr>
          <w:rFonts w:ascii="Arial" w:hAnsi="Arial" w:cs="Arial"/>
          <w:sz w:val="22"/>
          <w:szCs w:val="22"/>
          <w:vertAlign w:val="superscript"/>
          <w:lang w:bidi="ar-EG"/>
        </w:rPr>
        <w:t>*</w:t>
      </w:r>
      <w:r w:rsidRPr="00DE6EDB">
        <w:rPr>
          <w:rFonts w:ascii="Arial" w:hAnsi="Arial" w:cs="Arial"/>
          <w:sz w:val="22"/>
          <w:szCs w:val="22"/>
          <w:lang w:bidi="ar-EG"/>
        </w:rPr>
        <w:t xml:space="preserve">; E. </w:t>
      </w:r>
      <w:proofErr w:type="spellStart"/>
      <w:r w:rsidRPr="00DE6EDB">
        <w:rPr>
          <w:rFonts w:ascii="Arial" w:hAnsi="Arial" w:cs="Arial"/>
          <w:sz w:val="22"/>
          <w:szCs w:val="22"/>
          <w:lang w:bidi="ar-EG"/>
        </w:rPr>
        <w:t>Hoballah</w:t>
      </w:r>
      <w:proofErr w:type="spellEnd"/>
      <w:r w:rsidRPr="00DE6EDB">
        <w:rPr>
          <w:rFonts w:ascii="Arial" w:hAnsi="Arial" w:cs="Arial"/>
          <w:sz w:val="22"/>
          <w:szCs w:val="22"/>
          <w:lang w:bidi="ar-EG"/>
        </w:rPr>
        <w:t xml:space="preserve">*; </w:t>
      </w:r>
      <w:proofErr w:type="spellStart"/>
      <w:r w:rsidRPr="00DE6EDB">
        <w:rPr>
          <w:rFonts w:ascii="Arial" w:hAnsi="Arial" w:cs="Arial"/>
          <w:sz w:val="22"/>
          <w:szCs w:val="22"/>
          <w:lang w:bidi="ar-EG"/>
        </w:rPr>
        <w:t>Soad</w:t>
      </w:r>
      <w:proofErr w:type="spellEnd"/>
      <w:r w:rsidRPr="00DE6EDB">
        <w:rPr>
          <w:rFonts w:ascii="Arial" w:hAnsi="Arial" w:cs="Arial"/>
          <w:sz w:val="22"/>
          <w:szCs w:val="22"/>
          <w:lang w:bidi="ar-EG"/>
        </w:rPr>
        <w:t xml:space="preserve"> El-</w:t>
      </w:r>
      <w:proofErr w:type="spellStart"/>
      <w:r w:rsidRPr="00DE6EDB">
        <w:rPr>
          <w:rFonts w:ascii="Arial" w:hAnsi="Arial" w:cs="Arial"/>
          <w:sz w:val="22"/>
          <w:szCs w:val="22"/>
          <w:lang w:bidi="ar-EG"/>
        </w:rPr>
        <w:t>Ashry</w:t>
      </w:r>
      <w:proofErr w:type="spellEnd"/>
      <w:r w:rsidRPr="00DE6EDB">
        <w:rPr>
          <w:rFonts w:ascii="Arial" w:hAnsi="Arial" w:cs="Arial"/>
          <w:sz w:val="22"/>
          <w:szCs w:val="22"/>
          <w:vertAlign w:val="superscript"/>
          <w:lang w:bidi="ar-EG"/>
        </w:rPr>
        <w:t>**</w:t>
      </w:r>
      <w:r w:rsidRPr="00DE6EDB">
        <w:rPr>
          <w:rFonts w:ascii="Arial" w:hAnsi="Arial" w:cs="Arial"/>
          <w:sz w:val="22"/>
          <w:szCs w:val="22"/>
          <w:lang w:bidi="ar-EG"/>
        </w:rPr>
        <w:t xml:space="preserve">; </w:t>
      </w:r>
      <w:proofErr w:type="spellStart"/>
      <w:r w:rsidRPr="00DE6EDB">
        <w:rPr>
          <w:rFonts w:ascii="Arial" w:hAnsi="Arial" w:cs="Arial"/>
          <w:sz w:val="22"/>
          <w:szCs w:val="22"/>
          <w:lang w:bidi="ar-EG"/>
        </w:rPr>
        <w:t>Rafat</w:t>
      </w:r>
      <w:proofErr w:type="spellEnd"/>
      <w:r w:rsidRPr="00DE6EDB">
        <w:rPr>
          <w:rFonts w:ascii="Arial" w:hAnsi="Arial" w:cs="Arial"/>
          <w:sz w:val="22"/>
          <w:szCs w:val="22"/>
          <w:lang w:bidi="ar-EG"/>
        </w:rPr>
        <w:t xml:space="preserve"> Ramadan**and A. M. Zaghloul</w:t>
      </w:r>
      <w:r w:rsidRPr="00DE6EDB">
        <w:rPr>
          <w:rFonts w:ascii="Arial" w:hAnsi="Arial" w:cs="Arial"/>
          <w:vertAlign w:val="superscript"/>
          <w:lang w:bidi="ar-EG"/>
        </w:rPr>
        <w:t>**</w:t>
      </w:r>
    </w:p>
    <w:p w:rsidR="00DE6EDB" w:rsidRPr="00DE6EDB" w:rsidRDefault="00DE6EDB" w:rsidP="00DE6EDB">
      <w:pPr>
        <w:bidi w:val="0"/>
        <w:spacing w:line="360" w:lineRule="auto"/>
        <w:jc w:val="center"/>
        <w:rPr>
          <w:rFonts w:ascii="Arial" w:hAnsi="Arial" w:cs="Arial"/>
          <w:lang w:bidi="ar-EG"/>
        </w:rPr>
      </w:pPr>
      <w:r w:rsidRPr="00DE6EDB">
        <w:rPr>
          <w:rFonts w:ascii="Arial" w:hAnsi="Arial" w:cs="Arial"/>
          <w:lang w:bidi="ar-EG"/>
        </w:rPr>
        <w:t xml:space="preserve">Departments of Agric. microbiology and Soils and Water Use </w:t>
      </w:r>
    </w:p>
    <w:p w:rsidR="00DE6EDB" w:rsidRPr="00DE6EDB" w:rsidRDefault="00DE6EDB" w:rsidP="00DE6EDB">
      <w:pPr>
        <w:bidi w:val="0"/>
        <w:spacing w:line="360" w:lineRule="auto"/>
        <w:jc w:val="center"/>
        <w:rPr>
          <w:rFonts w:ascii="Arial" w:hAnsi="Arial" w:cs="Arial"/>
          <w:lang w:bidi="ar-EG"/>
        </w:rPr>
      </w:pPr>
      <w:r w:rsidRPr="00DE6EDB">
        <w:rPr>
          <w:rFonts w:ascii="Arial" w:hAnsi="Arial" w:cs="Arial"/>
          <w:lang w:bidi="ar-EG"/>
        </w:rPr>
        <w:t xml:space="preserve">National Research Centre (NRC), </w:t>
      </w:r>
      <w:proofErr w:type="spellStart"/>
      <w:r w:rsidRPr="00DE6EDB">
        <w:rPr>
          <w:rFonts w:ascii="Arial" w:hAnsi="Arial" w:cs="Arial"/>
          <w:lang w:bidi="ar-EG"/>
        </w:rPr>
        <w:t>Dokki</w:t>
      </w:r>
      <w:proofErr w:type="spellEnd"/>
      <w:r w:rsidRPr="00DE6EDB">
        <w:rPr>
          <w:rFonts w:ascii="Arial" w:hAnsi="Arial" w:cs="Arial"/>
          <w:lang w:bidi="ar-EG"/>
        </w:rPr>
        <w:t>, Cairo, Egypt</w:t>
      </w:r>
    </w:p>
    <w:p w:rsidR="00DE6EDB" w:rsidRPr="00DE6EDB" w:rsidRDefault="00DE6EDB" w:rsidP="00DE6EDB">
      <w:pPr>
        <w:bidi w:val="0"/>
        <w:spacing w:line="360" w:lineRule="auto"/>
        <w:jc w:val="center"/>
        <w:rPr>
          <w:rFonts w:ascii="Arial" w:hAnsi="Arial" w:cs="Arial"/>
          <w:lang w:bidi="ar-EG"/>
        </w:rPr>
      </w:pPr>
      <w:hyperlink r:id="rId4" w:history="1">
        <w:r w:rsidRPr="00DE6EDB">
          <w:rPr>
            <w:rStyle w:val="Hyperlink"/>
            <w:color w:val="auto"/>
            <w:lang w:bidi="ar-EG"/>
          </w:rPr>
          <w:t>alaazaghloul2002@yahoo.com</w:t>
        </w:r>
      </w:hyperlink>
    </w:p>
    <w:p w:rsidR="00DE6EDB" w:rsidRPr="00DE6EDB" w:rsidRDefault="00DE6EDB" w:rsidP="00DE6EDB">
      <w:pPr>
        <w:bidi w:val="0"/>
        <w:spacing w:line="360" w:lineRule="auto"/>
        <w:jc w:val="center"/>
        <w:rPr>
          <w:rFonts w:ascii="Arial" w:hAnsi="Arial" w:cs="Arial"/>
          <w:b/>
          <w:bCs/>
          <w:lang w:bidi="ar-EG"/>
        </w:rPr>
      </w:pPr>
    </w:p>
    <w:p w:rsidR="00DE6EDB" w:rsidRPr="00DE6EDB" w:rsidRDefault="00DE6EDB" w:rsidP="00DE6EDB">
      <w:pPr>
        <w:bidi w:val="0"/>
        <w:spacing w:line="360" w:lineRule="auto"/>
        <w:jc w:val="center"/>
        <w:rPr>
          <w:rFonts w:ascii="Arial" w:hAnsi="Arial" w:cs="Arial"/>
          <w:b/>
          <w:bCs/>
          <w:lang w:bidi="ar-EG"/>
        </w:rPr>
      </w:pPr>
      <w:r w:rsidRPr="00DE6EDB">
        <w:rPr>
          <w:rFonts w:ascii="Arial" w:hAnsi="Arial" w:cs="Arial"/>
          <w:b/>
          <w:bCs/>
          <w:lang w:bidi="ar-EG"/>
        </w:rPr>
        <w:t>Abstract</w:t>
      </w:r>
    </w:p>
    <w:p w:rsidR="00DE6EDB" w:rsidRPr="00DE6EDB" w:rsidRDefault="00DE6EDB" w:rsidP="00DE6EDB">
      <w:pPr>
        <w:pStyle w:val="Heading1"/>
        <w:bidi w:val="0"/>
        <w:spacing w:before="0" w:after="0" w:line="360" w:lineRule="auto"/>
        <w:jc w:val="both"/>
        <w:rPr>
          <w:b w:val="0"/>
          <w:bCs w:val="0"/>
          <w:sz w:val="24"/>
          <w:szCs w:val="24"/>
        </w:rPr>
      </w:pPr>
      <w:r w:rsidRPr="00DE6EDB">
        <w:rPr>
          <w:b w:val="0"/>
          <w:bCs w:val="0"/>
          <w:sz w:val="24"/>
          <w:szCs w:val="24"/>
        </w:rPr>
        <w:t>The effect of three soil temperature regimes, i.e., 5, 22 or 50</w:t>
      </w:r>
      <w:r w:rsidRPr="00DE6EDB">
        <w:rPr>
          <w:sz w:val="24"/>
          <w:szCs w:val="24"/>
          <w:vertAlign w:val="superscript"/>
          <w:lang w:bidi="ar-EG"/>
        </w:rPr>
        <w:t xml:space="preserve"> </w:t>
      </w:r>
      <w:proofErr w:type="spellStart"/>
      <w:r w:rsidRPr="00DE6EDB">
        <w:rPr>
          <w:sz w:val="24"/>
          <w:szCs w:val="24"/>
          <w:vertAlign w:val="superscript"/>
          <w:lang w:bidi="ar-EG"/>
        </w:rPr>
        <w:t>o</w:t>
      </w:r>
      <w:r w:rsidRPr="00DE6EDB">
        <w:rPr>
          <w:b w:val="0"/>
          <w:bCs w:val="0"/>
          <w:sz w:val="24"/>
          <w:szCs w:val="24"/>
          <w:lang w:bidi="ar-EG"/>
        </w:rPr>
        <w:t>C</w:t>
      </w:r>
      <w:proofErr w:type="spellEnd"/>
      <w:r w:rsidRPr="00DE6EDB">
        <w:rPr>
          <w:b w:val="0"/>
          <w:bCs w:val="0"/>
          <w:sz w:val="24"/>
          <w:szCs w:val="24"/>
        </w:rPr>
        <w:t>, in association with either bentonite or bentonite plus rock phosphate, on PTE’s desorption from soil irrigated with sewage effluent for 32 years was investigated in a modeling incubation experiment. Results revealed that incubation temperatures lodged the apt PTE's-desorption to each kinetic model. The power function (modified Freundlich) and Elovich equations were the most preeminent tailored models that could be used to designate the liberation of PTE’s under changeable experimental conditions, while the Horel's and the 1</w:t>
      </w:r>
      <w:r w:rsidRPr="00DE6EDB">
        <w:rPr>
          <w:b w:val="0"/>
          <w:bCs w:val="0"/>
          <w:sz w:val="24"/>
          <w:szCs w:val="24"/>
          <w:vertAlign w:val="superscript"/>
        </w:rPr>
        <w:t>st</w:t>
      </w:r>
      <w:r w:rsidRPr="00DE6EDB">
        <w:rPr>
          <w:b w:val="0"/>
          <w:bCs w:val="0"/>
          <w:sz w:val="24"/>
          <w:szCs w:val="24"/>
        </w:rPr>
        <w:t xml:space="preserve"> order equations bared somewhat lower conformity to specify data according to high SE. Results also confirmed that the kinetic boundaries pronouncing the rate of PTE's release in soil i.e., </w:t>
      </w:r>
      <w:r w:rsidRPr="00DE6EDB">
        <w:rPr>
          <w:i/>
          <w:iCs/>
          <w:sz w:val="24"/>
          <w:szCs w:val="24"/>
        </w:rPr>
        <w:t xml:space="preserve">a </w:t>
      </w:r>
      <w:r w:rsidRPr="00DE6EDB">
        <w:rPr>
          <w:b w:val="0"/>
          <w:bCs w:val="0"/>
          <w:sz w:val="24"/>
          <w:szCs w:val="24"/>
        </w:rPr>
        <w:t xml:space="preserve">values, intensity factor dwindled with increasing soil temperature. The effect of these parameters diverged between sole bentonite </w:t>
      </w:r>
      <w:proofErr w:type="gramStart"/>
      <w:r w:rsidRPr="00DE6EDB">
        <w:rPr>
          <w:b w:val="0"/>
          <w:bCs w:val="0"/>
          <w:sz w:val="24"/>
          <w:szCs w:val="24"/>
        </w:rPr>
        <w:t>or</w:t>
      </w:r>
      <w:proofErr w:type="gramEnd"/>
      <w:r w:rsidRPr="00DE6EDB">
        <w:rPr>
          <w:b w:val="0"/>
          <w:bCs w:val="0"/>
          <w:sz w:val="24"/>
          <w:szCs w:val="24"/>
        </w:rPr>
        <w:t xml:space="preserve"> bentonite plus rock phosphate, being highest in sandy soil (</w:t>
      </w:r>
      <w:proofErr w:type="spellStart"/>
      <w:r w:rsidRPr="00DE6EDB">
        <w:rPr>
          <w:b w:val="0"/>
          <w:bCs w:val="0"/>
          <w:i/>
          <w:iCs/>
          <w:sz w:val="24"/>
          <w:szCs w:val="24"/>
        </w:rPr>
        <w:t>Typic</w:t>
      </w:r>
      <w:proofErr w:type="spellEnd"/>
      <w:r w:rsidRPr="00DE6EDB">
        <w:rPr>
          <w:b w:val="0"/>
          <w:bCs w:val="0"/>
          <w:i/>
          <w:iCs/>
          <w:sz w:val="24"/>
          <w:szCs w:val="24"/>
        </w:rPr>
        <w:t xml:space="preserve"> </w:t>
      </w:r>
      <w:proofErr w:type="spellStart"/>
      <w:r w:rsidRPr="00DE6EDB">
        <w:rPr>
          <w:b w:val="0"/>
          <w:bCs w:val="0"/>
          <w:i/>
          <w:iCs/>
          <w:sz w:val="24"/>
          <w:szCs w:val="24"/>
        </w:rPr>
        <w:t>psamments</w:t>
      </w:r>
      <w:proofErr w:type="spellEnd"/>
      <w:r w:rsidRPr="00DE6EDB">
        <w:rPr>
          <w:b w:val="0"/>
          <w:bCs w:val="0"/>
          <w:sz w:val="24"/>
          <w:szCs w:val="24"/>
        </w:rPr>
        <w:t xml:space="preserve">) and were least in bentonite plus rock phosphate treatment. Outcomes showed that the increasing order of the investigated capacity factors namely; </w:t>
      </w:r>
      <w:r w:rsidRPr="00DE6EDB">
        <w:rPr>
          <w:i/>
          <w:iCs/>
          <w:sz w:val="24"/>
          <w:szCs w:val="24"/>
        </w:rPr>
        <w:t>b</w:t>
      </w:r>
      <w:r w:rsidRPr="00DE6EDB">
        <w:rPr>
          <w:b w:val="0"/>
          <w:bCs w:val="0"/>
          <w:sz w:val="24"/>
          <w:szCs w:val="24"/>
        </w:rPr>
        <w:t xml:space="preserve"> for the above equations, respectively, was in the descending order of bentonite plus rock phosphate &gt; sole Bentonite&gt; control. The bioavailability of the different PTE’s and their reactions in soil ecosystem is reviewed through the PTE's-rate constants of the used models. </w:t>
      </w:r>
    </w:p>
    <w:p w:rsidR="00DE6EDB" w:rsidRPr="00DE6EDB" w:rsidRDefault="00DE6EDB" w:rsidP="00DE6EDB">
      <w:pPr>
        <w:bidi w:val="0"/>
        <w:spacing w:line="360" w:lineRule="auto"/>
        <w:jc w:val="both"/>
        <w:rPr>
          <w:rFonts w:ascii="Arial" w:hAnsi="Arial" w:cs="Arial"/>
        </w:rPr>
      </w:pPr>
      <w:r w:rsidRPr="00DE6EDB">
        <w:rPr>
          <w:rFonts w:ascii="Arial" w:hAnsi="Arial" w:cs="Arial"/>
        </w:rPr>
        <w:t>Key words: PTE’s release, soil temperature, kinetic models.</w:t>
      </w:r>
    </w:p>
    <w:p w:rsidR="004D1735" w:rsidRPr="00DE6EDB" w:rsidRDefault="004D1735"/>
    <w:sectPr w:rsidR="004D1735" w:rsidRPr="00DE6EDB" w:rsidSect="004D1735">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DE6EDB"/>
    <w:rsid w:val="004D1735"/>
    <w:rsid w:val="00DE6E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EDB"/>
    <w:pPr>
      <w:bidi/>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E6EDB"/>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6EDB"/>
    <w:rPr>
      <w:rFonts w:ascii="Arial" w:eastAsia="Times New Roman" w:hAnsi="Arial" w:cs="Arial"/>
      <w:b/>
      <w:bCs/>
      <w:kern w:val="32"/>
      <w:sz w:val="32"/>
      <w:szCs w:val="32"/>
    </w:rPr>
  </w:style>
  <w:style w:type="character" w:styleId="Hyperlink">
    <w:name w:val="Hyperlink"/>
    <w:rsid w:val="00DE6EDB"/>
    <w:rPr>
      <w:color w:val="0000FF"/>
      <w:u w:val="single"/>
    </w:rPr>
  </w:style>
  <w:style w:type="character" w:customStyle="1" w:styleId="a">
    <w:name w:val="a"/>
    <w:basedOn w:val="DefaultParagraphFont"/>
    <w:rsid w:val="00DE6E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laazaghloul2002@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1643</Characters>
  <Application>Microsoft Office Word</Application>
  <DocSecurity>0</DocSecurity>
  <Lines>13</Lines>
  <Paragraphs>3</Paragraphs>
  <ScaleCrop>false</ScaleCrop>
  <Company/>
  <LinksUpToDate>false</LinksUpToDate>
  <CharactersWithSpaces>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Alaa</dc:creator>
  <cp:lastModifiedBy>Alaa</cp:lastModifiedBy>
  <cp:revision>1</cp:revision>
  <dcterms:created xsi:type="dcterms:W3CDTF">2017-07-07T12:33:00Z</dcterms:created>
  <dcterms:modified xsi:type="dcterms:W3CDTF">2017-07-07T12:34:00Z</dcterms:modified>
</cp:coreProperties>
</file>