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0986A" w14:textId="7CB3E80E" w:rsidR="00942572" w:rsidRDefault="00942572" w:rsidP="00942572">
      <w:pPr>
        <w:rPr>
          <w:b/>
          <w:bCs/>
          <w:color w:val="000000"/>
          <w:sz w:val="28"/>
          <w:szCs w:val="28"/>
          <w:lang w:val="it-IT"/>
        </w:rPr>
      </w:pPr>
      <w:bookmarkStart w:id="0" w:name="_GoBack"/>
      <w:r>
        <w:rPr>
          <w:noProof/>
          <w:color w:val="000000"/>
          <w:lang w:val="it-IT"/>
        </w:rPr>
        <w:drawing>
          <wp:inline distT="0" distB="0" distL="0" distR="0" wp14:anchorId="1CDA6137" wp14:editId="399395A3">
            <wp:extent cx="1721485" cy="1118714"/>
            <wp:effectExtent l="0" t="0" r="0" b="5715"/>
            <wp:docPr id="2" name="Picture 2"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n's pictur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33790" cy="1126710"/>
                    </a:xfrm>
                    <a:prstGeom prst="rect">
                      <a:avLst/>
                    </a:prstGeom>
                  </pic:spPr>
                </pic:pic>
              </a:graphicData>
            </a:graphic>
          </wp:inline>
        </w:drawing>
      </w:r>
    </w:p>
    <w:bookmarkEnd w:id="0"/>
    <w:p w14:paraId="17E9B936" w14:textId="78F6A478" w:rsidR="00942572" w:rsidRDefault="00942572" w:rsidP="00942572">
      <w:pPr>
        <w:rPr>
          <w:rFonts w:ascii="Calibri" w:hAnsi="Calibri" w:cs="Calibri"/>
        </w:rPr>
      </w:pPr>
      <w:r>
        <w:rPr>
          <w:b/>
          <w:bCs/>
          <w:color w:val="000000"/>
          <w:sz w:val="28"/>
          <w:szCs w:val="28"/>
          <w:lang w:val="it-IT"/>
        </w:rPr>
        <w:t>Title: The Challenges and Opportunities in Drug Discovery for Ocular Indications (Delivery and New Drugs)</w:t>
      </w:r>
    </w:p>
    <w:p w14:paraId="7C730C01" w14:textId="77777777" w:rsidR="00942572" w:rsidRDefault="00942572" w:rsidP="00942572">
      <w:pPr>
        <w:rPr>
          <w:rFonts w:ascii="Calibri" w:hAnsi="Calibri" w:cs="Calibri"/>
        </w:rPr>
      </w:pPr>
      <w:r>
        <w:rPr>
          <w:b/>
          <w:bCs/>
          <w:color w:val="500050"/>
          <w:sz w:val="28"/>
          <w:szCs w:val="28"/>
          <w:lang w:val="it-IT"/>
        </w:rPr>
        <w:t>                                            </w:t>
      </w:r>
    </w:p>
    <w:p w14:paraId="56182FEC" w14:textId="77777777" w:rsidR="00942572" w:rsidRDefault="00942572" w:rsidP="00942572">
      <w:pPr>
        <w:rPr>
          <w:color w:val="000000"/>
          <w:lang w:val="it-IT"/>
        </w:rPr>
      </w:pPr>
      <w:r>
        <w:rPr>
          <w:color w:val="000000"/>
          <w:lang w:val="it-IT"/>
        </w:rPr>
        <w:t>Ron Neumann, MD</w:t>
      </w:r>
    </w:p>
    <w:p w14:paraId="5CAFAC2E" w14:textId="5213A119" w:rsidR="00942572" w:rsidRDefault="00942572" w:rsidP="00942572">
      <w:pPr>
        <w:spacing w:line="240" w:lineRule="auto"/>
        <w:rPr>
          <w:rFonts w:ascii="Calibri" w:hAnsi="Calibri" w:cs="Calibri"/>
        </w:rPr>
      </w:pPr>
      <w:r>
        <w:rPr>
          <w:color w:val="000000"/>
          <w:lang w:val="it-IT"/>
        </w:rPr>
        <w:t>Ophthalmologist,</w:t>
      </w:r>
      <w:r>
        <w:rPr>
          <w:color w:val="000000"/>
          <w:rtl/>
        </w:rPr>
        <w:t> </w:t>
      </w:r>
      <w:r>
        <w:rPr>
          <w:color w:val="000000"/>
          <w:lang w:val="it-IT"/>
        </w:rPr>
        <w:t>Inflammatory eye disease</w:t>
      </w:r>
      <w:r>
        <w:rPr>
          <w:color w:val="000000"/>
          <w:rtl/>
        </w:rPr>
        <w:t> </w:t>
      </w:r>
      <w:r>
        <w:rPr>
          <w:color w:val="000000"/>
        </w:rPr>
        <w:t xml:space="preserve">expert, </w:t>
      </w:r>
      <w:r>
        <w:rPr>
          <w:color w:val="000000"/>
          <w:lang w:val="it-IT"/>
        </w:rPr>
        <w:t>Pharma Consultant and Chair of  International Symposium of Ocular Pharmacology and Therapeutics</w:t>
      </w:r>
      <w:r>
        <w:rPr>
          <w:color w:val="0000FF"/>
          <w:sz w:val="36"/>
          <w:szCs w:val="36"/>
          <w:lang w:val="it-IT"/>
        </w:rPr>
        <w:t> </w:t>
      </w:r>
    </w:p>
    <w:p w14:paraId="5A6D37DA" w14:textId="77777777" w:rsidR="00942572" w:rsidRDefault="00942572" w:rsidP="00942572">
      <w:pPr>
        <w:ind w:firstLine="720"/>
        <w:rPr>
          <w:rFonts w:ascii="Calibri" w:hAnsi="Calibri" w:cs="Calibri"/>
        </w:rPr>
      </w:pPr>
      <w:r>
        <w:rPr>
          <w:color w:val="000000"/>
          <w:lang w:val="it-IT"/>
        </w:rPr>
        <w:t>The eye is a unique organ, exposed to the external environment on one hand, and extension of the central nervous system on the other. Being part of the CNS result in special biochemical conditions, immune-sequestration and immune-privileges to allow proper function. The eye is composed of three distinct compartments: the external ocular surface, the anterior segment, and the posterior segment, each accessible to drugs differently. While the external eye and ocular surface are accessible to drugs applied topically, drug delivery to the retina that is protected by the</w:t>
      </w:r>
      <w:r>
        <w:rPr>
          <w:color w:val="000000"/>
        </w:rPr>
        <w:t> </w:t>
      </w:r>
      <w:r>
        <w:rPr>
          <w:color w:val="000000"/>
          <w:lang w:val="it-IT"/>
        </w:rPr>
        <w:t>blood ocular barrier (BOB) is extremely complicated.</w:t>
      </w:r>
    </w:p>
    <w:p w14:paraId="2B04898D" w14:textId="77777777" w:rsidR="00942572" w:rsidRDefault="00942572" w:rsidP="00942572">
      <w:pPr>
        <w:ind w:firstLine="720"/>
        <w:rPr>
          <w:rFonts w:ascii="Calibri" w:hAnsi="Calibri" w:cs="Calibri"/>
        </w:rPr>
      </w:pPr>
      <w:r>
        <w:rPr>
          <w:color w:val="000000"/>
          <w:lang w:val="it-IT"/>
        </w:rPr>
        <w:t>This presentation will focus on:</w:t>
      </w:r>
    </w:p>
    <w:p w14:paraId="681DBA84" w14:textId="77777777" w:rsidR="00942572" w:rsidRDefault="00942572" w:rsidP="00942572">
      <w:pPr>
        <w:ind w:left="1080"/>
        <w:rPr>
          <w:rFonts w:ascii="Calibri" w:hAnsi="Calibri" w:cs="Calibri"/>
        </w:rPr>
      </w:pPr>
      <w:r>
        <w:rPr>
          <w:rFonts w:ascii="Symbol" w:hAnsi="Symbol" w:cs="Calibri"/>
        </w:rPr>
        <w:t>·</w:t>
      </w:r>
      <w:r>
        <w:rPr>
          <w:sz w:val="14"/>
          <w:szCs w:val="14"/>
        </w:rPr>
        <w:t>         </w:t>
      </w:r>
      <w:r>
        <w:rPr>
          <w:color w:val="000000"/>
          <w:lang w:val="it-IT"/>
        </w:rPr>
        <w:t>A review of the different ocular compartments and common related diseases </w:t>
      </w:r>
    </w:p>
    <w:p w14:paraId="5789410E" w14:textId="77777777" w:rsidR="00942572" w:rsidRDefault="00942572" w:rsidP="00942572">
      <w:pPr>
        <w:ind w:left="1080"/>
        <w:rPr>
          <w:rFonts w:ascii="Calibri" w:hAnsi="Calibri" w:cs="Calibri"/>
        </w:rPr>
      </w:pPr>
      <w:r>
        <w:rPr>
          <w:rFonts w:ascii="Symbol" w:hAnsi="Symbol" w:cs="Calibri"/>
          <w:color w:val="500050"/>
        </w:rPr>
        <w:t>·</w:t>
      </w:r>
      <w:r>
        <w:rPr>
          <w:color w:val="500050"/>
          <w:sz w:val="14"/>
          <w:szCs w:val="14"/>
        </w:rPr>
        <w:t>         </w:t>
      </w:r>
      <w:r>
        <w:rPr>
          <w:color w:val="000000"/>
          <w:lang w:val="it-IT"/>
        </w:rPr>
        <w:t>The fate of pharmaceutical materials applied as eye drops (pharmacokinetics)</w:t>
      </w:r>
    </w:p>
    <w:p w14:paraId="47918D87" w14:textId="77777777" w:rsidR="00942572" w:rsidRDefault="00942572" w:rsidP="00942572">
      <w:pPr>
        <w:ind w:left="1080"/>
        <w:rPr>
          <w:rFonts w:ascii="Calibri" w:hAnsi="Calibri" w:cs="Calibri"/>
        </w:rPr>
      </w:pPr>
      <w:r>
        <w:rPr>
          <w:rFonts w:ascii="Symbol" w:hAnsi="Symbol" w:cs="Calibri"/>
          <w:color w:val="500050"/>
        </w:rPr>
        <w:t>·</w:t>
      </w:r>
      <w:r>
        <w:rPr>
          <w:color w:val="500050"/>
          <w:sz w:val="14"/>
          <w:szCs w:val="14"/>
        </w:rPr>
        <w:t>         </w:t>
      </w:r>
      <w:r>
        <w:rPr>
          <w:color w:val="000000"/>
          <w:lang w:val="it-IT"/>
        </w:rPr>
        <w:t>The challenge of drug penetration to the different ocular compartments</w:t>
      </w:r>
    </w:p>
    <w:p w14:paraId="35EF4CE9" w14:textId="77777777" w:rsidR="00942572" w:rsidRDefault="00942572" w:rsidP="00942572">
      <w:pPr>
        <w:ind w:left="1080"/>
        <w:rPr>
          <w:rFonts w:ascii="Calibri" w:hAnsi="Calibri" w:cs="Calibri"/>
        </w:rPr>
      </w:pPr>
      <w:r>
        <w:rPr>
          <w:rFonts w:ascii="Symbol" w:hAnsi="Symbol" w:cs="Calibri"/>
          <w:color w:val="500050"/>
        </w:rPr>
        <w:t>·</w:t>
      </w:r>
      <w:r>
        <w:rPr>
          <w:color w:val="500050"/>
          <w:sz w:val="14"/>
          <w:szCs w:val="14"/>
        </w:rPr>
        <w:t>         </w:t>
      </w:r>
      <w:r>
        <w:rPr>
          <w:color w:val="000000"/>
        </w:rPr>
        <w:t>Repurposing of drugs, approved for other indications, for ocular use</w:t>
      </w:r>
    </w:p>
    <w:p w14:paraId="38664A75" w14:textId="77777777" w:rsidR="00942572" w:rsidRDefault="00942572" w:rsidP="00942572">
      <w:pPr>
        <w:ind w:left="1080"/>
        <w:rPr>
          <w:rFonts w:ascii="Calibri" w:hAnsi="Calibri" w:cs="Calibri"/>
        </w:rPr>
      </w:pPr>
      <w:r>
        <w:rPr>
          <w:rFonts w:ascii="Symbol" w:hAnsi="Symbol" w:cs="Calibri"/>
          <w:color w:val="500050"/>
        </w:rPr>
        <w:t xml:space="preserve">· </w:t>
      </w:r>
      <w:r>
        <w:rPr>
          <w:rFonts w:ascii="Symbol" w:cs="Calibri"/>
          <w:color w:val="500050"/>
        </w:rPr>
        <w:t>    </w:t>
      </w:r>
      <w:r>
        <w:rPr>
          <w:color w:val="000000"/>
        </w:rPr>
        <w:t>Development of new chemicals entities dedicated to eye diseases  </w:t>
      </w:r>
    </w:p>
    <w:p w14:paraId="47432CBE" w14:textId="631FE177" w:rsidR="00942572" w:rsidRDefault="00942572" w:rsidP="00942572">
      <w:pPr>
        <w:ind w:left="1080"/>
        <w:rPr>
          <w:rFonts w:ascii="Calibri" w:hAnsi="Calibri" w:cs="Calibri"/>
        </w:rPr>
      </w:pPr>
      <w:r>
        <w:rPr>
          <w:rFonts w:ascii="Symbol" w:hAnsi="Symbol" w:cs="Calibri"/>
          <w:color w:val="500050"/>
        </w:rPr>
        <w:t xml:space="preserve">· </w:t>
      </w:r>
      <w:r>
        <w:rPr>
          <w:rFonts w:ascii="Symbol" w:cs="Calibri"/>
          <w:color w:val="500050"/>
        </w:rPr>
        <w:t>    </w:t>
      </w:r>
      <w:r>
        <w:rPr>
          <w:color w:val="000000"/>
        </w:rPr>
        <w:t>New approaches to drug delivery into the eyeball (bypassing BOB and cornea)</w:t>
      </w:r>
    </w:p>
    <w:p w14:paraId="2D83A199" w14:textId="17C19826" w:rsidR="00942572" w:rsidRDefault="00942572" w:rsidP="00942572">
      <w:pPr>
        <w:rPr>
          <w:rFonts w:ascii="Calibri" w:hAnsi="Calibri" w:cs="Calibri"/>
        </w:rPr>
      </w:pPr>
      <w:r>
        <w:rPr>
          <w:color w:val="000000"/>
          <w:lang w:val="it-IT"/>
        </w:rPr>
        <w:t>Common systemic diseases and their manifestations in the eye (Diabetes, Hypertension and Vascular indications) will also be compared to ocular specific diseases (Glaucoma and AMD) via the prism of drug development. The presentation will touch upon unmet medical needs and unique opportunities, while reviewing the limitations and challenges in drug development for ocular indications. </w:t>
      </w:r>
    </w:p>
    <w:p w14:paraId="2DDB4120" w14:textId="77777777" w:rsidR="00942572" w:rsidRDefault="00942572" w:rsidP="00942572">
      <w:pPr>
        <w:spacing w:line="235" w:lineRule="atLeast"/>
        <w:rPr>
          <w:rFonts w:ascii="Calibri" w:hAnsi="Calibri" w:cs="Calibri"/>
        </w:rPr>
      </w:pPr>
      <w:r>
        <w:rPr>
          <w:rFonts w:ascii="Calibri" w:hAnsi="Calibri" w:cs="Calibri"/>
          <w:color w:val="500050"/>
        </w:rPr>
        <w:t> </w:t>
      </w:r>
    </w:p>
    <w:p w14:paraId="4F5E3A99" w14:textId="77777777" w:rsidR="00942572" w:rsidRDefault="00942572" w:rsidP="00942572">
      <w:pPr>
        <w:spacing w:line="256" w:lineRule="auto"/>
        <w:jc w:val="both"/>
        <w:rPr>
          <w:rFonts w:ascii="Calibri" w:hAnsi="Calibri" w:cs="Calibri"/>
        </w:rPr>
      </w:pPr>
      <w:r>
        <w:rPr>
          <w:rFonts w:ascii="Calibri" w:hAnsi="Calibri" w:cs="Calibri"/>
          <w:color w:val="500050"/>
        </w:rPr>
        <w:t> </w:t>
      </w:r>
      <w:r>
        <w:rPr>
          <w:rFonts w:ascii="Calibri" w:hAnsi="Calibri" w:cs="Calibri"/>
          <w:b/>
          <w:bCs/>
        </w:rPr>
        <w:t>Biography</w:t>
      </w:r>
    </w:p>
    <w:p w14:paraId="6CFACE7B" w14:textId="77777777" w:rsidR="00942572" w:rsidRDefault="00942572" w:rsidP="00942572">
      <w:pPr>
        <w:spacing w:line="256" w:lineRule="auto"/>
        <w:jc w:val="both"/>
        <w:rPr>
          <w:rFonts w:ascii="Calibri" w:hAnsi="Calibri" w:cs="Calibri"/>
        </w:rPr>
      </w:pPr>
      <w:r>
        <w:rPr>
          <w:rFonts w:ascii="Calibri" w:hAnsi="Calibri" w:cs="Calibri"/>
        </w:rPr>
        <w:t xml:space="preserve">Tel-Aviv University Medical School graduate, Magna Cum Laude. Residency in Ophthalmology affiliated to the Hebrew University. Clinical and research fellowship at the Harvard University program for </w:t>
      </w:r>
      <w:r>
        <w:rPr>
          <w:rFonts w:ascii="Calibri" w:hAnsi="Calibri" w:cs="Calibri"/>
        </w:rPr>
        <w:lastRenderedPageBreak/>
        <w:t xml:space="preserve">inflammatory eye diseases. Twenty-five years of clinical experience in uveitis, autoimmune and allergic conditions. Headed the global medical affair group at Teva Pharmaceutical Ltd for ten years (2002-2012) followed by leading the Ophthalmology Therapeutic Area at the global R&amp; D group at Teva (2013-2016). Currently, consulting to various pharma companies. Founded and serves as a co-chairperson of the International Symposium of Ocular Pharmacology and Therapeutics (ISOPT Clinical). </w:t>
      </w:r>
      <w:hyperlink r:id="rId5" w:history="1">
        <w:r>
          <w:rPr>
            <w:rStyle w:val="Hyperlink"/>
          </w:rPr>
          <w:t>www.isoptclinical.com</w:t>
        </w:r>
      </w:hyperlink>
    </w:p>
    <w:p w14:paraId="6CD028C9" w14:textId="77777777" w:rsidR="00942572" w:rsidRDefault="00942572" w:rsidP="00942572">
      <w:pPr>
        <w:spacing w:line="235" w:lineRule="atLeast"/>
        <w:rPr>
          <w:rFonts w:ascii="Calibri" w:hAnsi="Calibri" w:cs="Calibri"/>
        </w:rPr>
      </w:pPr>
      <w:r>
        <w:rPr>
          <w:rFonts w:ascii="Calibri" w:hAnsi="Calibri" w:cs="Calibri"/>
          <w:color w:val="500050"/>
        </w:rPr>
        <w:t> </w:t>
      </w:r>
    </w:p>
    <w:p w14:paraId="08B99AA3" w14:textId="77777777" w:rsidR="00942572" w:rsidRDefault="00942572" w:rsidP="00942572">
      <w:pPr>
        <w:spacing w:line="256" w:lineRule="auto"/>
        <w:rPr>
          <w:rFonts w:ascii="Calibri" w:hAnsi="Calibri" w:cs="Calibri"/>
        </w:rPr>
      </w:pPr>
      <w:r>
        <w:rPr>
          <w:rFonts w:ascii="Calibri" w:hAnsi="Calibri" w:cs="Calibri"/>
        </w:rPr>
        <w:t> </w:t>
      </w:r>
    </w:p>
    <w:p w14:paraId="536E1D2E" w14:textId="77777777" w:rsidR="00942572" w:rsidRDefault="00942572" w:rsidP="00942572">
      <w:pPr>
        <w:rPr>
          <w:rFonts w:ascii="Times New Roman" w:hAnsi="Times New Roman" w:cs="Times New Roman"/>
          <w:sz w:val="24"/>
          <w:szCs w:val="24"/>
        </w:rPr>
      </w:pPr>
      <w:r>
        <w:t>Ron Neumann MD </w:t>
      </w:r>
    </w:p>
    <w:p w14:paraId="42624FDE" w14:textId="77777777" w:rsidR="00942572" w:rsidRDefault="00942572" w:rsidP="00942572">
      <w:r>
        <w:t xml:space="preserve">Co-Chairperson </w:t>
      </w:r>
      <w:r>
        <w:rPr>
          <w:b/>
          <w:bCs/>
        </w:rPr>
        <w:t xml:space="preserve">ISOPT </w:t>
      </w:r>
      <w:r>
        <w:rPr>
          <w:b/>
          <w:bCs/>
          <w:i/>
          <w:iCs/>
        </w:rPr>
        <w:t>Clinical</w:t>
      </w:r>
    </w:p>
    <w:p w14:paraId="509ECF8A" w14:textId="77777777" w:rsidR="00942572" w:rsidRDefault="00942572" w:rsidP="00942572">
      <w:r>
        <w:t>Ocular Drug Development Expert</w:t>
      </w:r>
    </w:p>
    <w:p w14:paraId="778CBD71" w14:textId="77777777" w:rsidR="00942572" w:rsidRDefault="00942572" w:rsidP="00942572">
      <w:r>
        <w:t>Specializing in Inflammatory Eye Diseases </w:t>
      </w:r>
    </w:p>
    <w:p w14:paraId="3D75D187" w14:textId="77777777" w:rsidR="0084192F" w:rsidRPr="00942572" w:rsidRDefault="00942572" w:rsidP="00942572"/>
    <w:sectPr w:rsidR="0084192F" w:rsidRPr="00942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D3E"/>
    <w:rsid w:val="0008370C"/>
    <w:rsid w:val="001D327E"/>
    <w:rsid w:val="00225DDC"/>
    <w:rsid w:val="002B287B"/>
    <w:rsid w:val="00402B11"/>
    <w:rsid w:val="00584FC9"/>
    <w:rsid w:val="007B6E37"/>
    <w:rsid w:val="007B7A46"/>
    <w:rsid w:val="00903ACA"/>
    <w:rsid w:val="00942572"/>
    <w:rsid w:val="00A1412D"/>
    <w:rsid w:val="00A17659"/>
    <w:rsid w:val="00A93C16"/>
    <w:rsid w:val="00AD1E50"/>
    <w:rsid w:val="00CF0D3E"/>
    <w:rsid w:val="00D27E4A"/>
    <w:rsid w:val="00E57127"/>
    <w:rsid w:val="00EA587D"/>
    <w:rsid w:val="00EC2B82"/>
    <w:rsid w:val="00EF3E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93849"/>
  <w15:chartTrackingRefBased/>
  <w15:docId w15:val="{FD652033-25FE-42C9-94B3-511FD9114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4257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61149">
      <w:bodyDiv w:val="1"/>
      <w:marLeft w:val="0"/>
      <w:marRight w:val="0"/>
      <w:marTop w:val="0"/>
      <w:marBottom w:val="0"/>
      <w:divBdr>
        <w:top w:val="none" w:sz="0" w:space="0" w:color="auto"/>
        <w:left w:val="none" w:sz="0" w:space="0" w:color="auto"/>
        <w:bottom w:val="none" w:sz="0" w:space="0" w:color="auto"/>
        <w:right w:val="none" w:sz="0" w:space="0" w:color="auto"/>
      </w:divBdr>
      <w:divsChild>
        <w:div w:id="1651977980">
          <w:marLeft w:val="0"/>
          <w:marRight w:val="0"/>
          <w:marTop w:val="0"/>
          <w:marBottom w:val="0"/>
          <w:divBdr>
            <w:top w:val="none" w:sz="0" w:space="0" w:color="auto"/>
            <w:left w:val="none" w:sz="0" w:space="0" w:color="auto"/>
            <w:bottom w:val="none" w:sz="0" w:space="0" w:color="auto"/>
            <w:right w:val="none" w:sz="0" w:space="0" w:color="auto"/>
          </w:divBdr>
          <w:divsChild>
            <w:div w:id="760376247">
              <w:marLeft w:val="0"/>
              <w:marRight w:val="0"/>
              <w:marTop w:val="0"/>
              <w:marBottom w:val="0"/>
              <w:divBdr>
                <w:top w:val="none" w:sz="0" w:space="0" w:color="auto"/>
                <w:left w:val="none" w:sz="0" w:space="0" w:color="auto"/>
                <w:bottom w:val="none" w:sz="0" w:space="0" w:color="auto"/>
                <w:right w:val="none" w:sz="0" w:space="0" w:color="auto"/>
              </w:divBdr>
              <w:divsChild>
                <w:div w:id="657538153">
                  <w:marLeft w:val="0"/>
                  <w:marRight w:val="0"/>
                  <w:marTop w:val="0"/>
                  <w:marBottom w:val="0"/>
                  <w:divBdr>
                    <w:top w:val="none" w:sz="0" w:space="0" w:color="auto"/>
                    <w:left w:val="none" w:sz="0" w:space="0" w:color="auto"/>
                    <w:bottom w:val="none" w:sz="0" w:space="0" w:color="auto"/>
                    <w:right w:val="none" w:sz="0" w:space="0" w:color="auto"/>
                  </w:divBdr>
                  <w:divsChild>
                    <w:div w:id="1517503764">
                      <w:marLeft w:val="0"/>
                      <w:marRight w:val="0"/>
                      <w:marTop w:val="0"/>
                      <w:marBottom w:val="0"/>
                      <w:divBdr>
                        <w:top w:val="none" w:sz="0" w:space="0" w:color="auto"/>
                        <w:left w:val="none" w:sz="0" w:space="0" w:color="auto"/>
                        <w:bottom w:val="none" w:sz="0" w:space="0" w:color="auto"/>
                        <w:right w:val="none" w:sz="0" w:space="0" w:color="auto"/>
                      </w:divBdr>
                      <w:divsChild>
                        <w:div w:id="848570133">
                          <w:marLeft w:val="0"/>
                          <w:marRight w:val="0"/>
                          <w:marTop w:val="0"/>
                          <w:marBottom w:val="0"/>
                          <w:divBdr>
                            <w:top w:val="none" w:sz="0" w:space="0" w:color="auto"/>
                            <w:left w:val="none" w:sz="0" w:space="0" w:color="auto"/>
                            <w:bottom w:val="none" w:sz="0" w:space="0" w:color="auto"/>
                            <w:right w:val="none" w:sz="0" w:space="0" w:color="auto"/>
                          </w:divBdr>
                          <w:divsChild>
                            <w:div w:id="392197716">
                              <w:marLeft w:val="0"/>
                              <w:marRight w:val="0"/>
                              <w:marTop w:val="0"/>
                              <w:marBottom w:val="0"/>
                              <w:divBdr>
                                <w:top w:val="none" w:sz="0" w:space="0" w:color="auto"/>
                                <w:left w:val="none" w:sz="0" w:space="0" w:color="auto"/>
                                <w:bottom w:val="none" w:sz="0" w:space="0" w:color="auto"/>
                                <w:right w:val="none" w:sz="0" w:space="0" w:color="auto"/>
                              </w:divBdr>
                            </w:div>
                            <w:div w:id="391466408">
                              <w:marLeft w:val="0"/>
                              <w:marRight w:val="0"/>
                              <w:marTop w:val="0"/>
                              <w:marBottom w:val="0"/>
                              <w:divBdr>
                                <w:top w:val="none" w:sz="0" w:space="0" w:color="auto"/>
                                <w:left w:val="none" w:sz="0" w:space="0" w:color="auto"/>
                                <w:bottom w:val="none" w:sz="0" w:space="0" w:color="auto"/>
                                <w:right w:val="none" w:sz="0" w:space="0" w:color="auto"/>
                              </w:divBdr>
                            </w:div>
                            <w:div w:id="93567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5707745">
      <w:bodyDiv w:val="1"/>
      <w:marLeft w:val="0"/>
      <w:marRight w:val="0"/>
      <w:marTop w:val="0"/>
      <w:marBottom w:val="0"/>
      <w:divBdr>
        <w:top w:val="none" w:sz="0" w:space="0" w:color="auto"/>
        <w:left w:val="none" w:sz="0" w:space="0" w:color="auto"/>
        <w:bottom w:val="none" w:sz="0" w:space="0" w:color="auto"/>
        <w:right w:val="none" w:sz="0" w:space="0" w:color="auto"/>
      </w:divBdr>
      <w:divsChild>
        <w:div w:id="1191335042">
          <w:marLeft w:val="0"/>
          <w:marRight w:val="0"/>
          <w:marTop w:val="30"/>
          <w:marBottom w:val="0"/>
          <w:divBdr>
            <w:top w:val="none" w:sz="0" w:space="0" w:color="auto"/>
            <w:left w:val="none" w:sz="0" w:space="0" w:color="auto"/>
            <w:bottom w:val="none" w:sz="0" w:space="0" w:color="auto"/>
            <w:right w:val="none" w:sz="0" w:space="0" w:color="auto"/>
          </w:divBdr>
          <w:divsChild>
            <w:div w:id="1827012863">
              <w:marLeft w:val="0"/>
              <w:marRight w:val="0"/>
              <w:marTop w:val="0"/>
              <w:marBottom w:val="0"/>
              <w:divBdr>
                <w:top w:val="none" w:sz="0" w:space="0" w:color="auto"/>
                <w:left w:val="none" w:sz="0" w:space="0" w:color="auto"/>
                <w:bottom w:val="none" w:sz="0" w:space="0" w:color="auto"/>
                <w:right w:val="none" w:sz="0" w:space="0" w:color="auto"/>
              </w:divBdr>
            </w:div>
          </w:divsChild>
        </w:div>
        <w:div w:id="1519007014">
          <w:marLeft w:val="0"/>
          <w:marRight w:val="0"/>
          <w:marTop w:val="0"/>
          <w:marBottom w:val="0"/>
          <w:divBdr>
            <w:top w:val="none" w:sz="0" w:space="0" w:color="auto"/>
            <w:left w:val="none" w:sz="0" w:space="0" w:color="auto"/>
            <w:bottom w:val="none" w:sz="0" w:space="0" w:color="auto"/>
            <w:right w:val="none" w:sz="0" w:space="0" w:color="auto"/>
          </w:divBdr>
          <w:divsChild>
            <w:div w:id="41932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soptclinica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Neumann</dc:creator>
  <cp:keywords/>
  <dc:description/>
  <cp:lastModifiedBy>Ron Neumann</cp:lastModifiedBy>
  <cp:revision>3</cp:revision>
  <dcterms:created xsi:type="dcterms:W3CDTF">2019-12-17T04:49:00Z</dcterms:created>
  <dcterms:modified xsi:type="dcterms:W3CDTF">2019-12-17T05:01:00Z</dcterms:modified>
</cp:coreProperties>
</file>