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32CAA" w14:textId="3B55DED1" w:rsidR="00C76D2B" w:rsidRDefault="00C76D2B" w:rsidP="00C76D2B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Abstract  Digital</w:t>
      </w:r>
      <w:proofErr w:type="gramEnd"/>
      <w:r>
        <w:rPr>
          <w:b/>
          <w:bCs/>
          <w:u w:val="single"/>
        </w:rPr>
        <w:t xml:space="preserve">  Health  2022</w:t>
      </w:r>
    </w:p>
    <w:p w14:paraId="43F53F1D" w14:textId="77777777" w:rsidR="00C76D2B" w:rsidRDefault="00C76D2B" w:rsidP="00C76D2B"/>
    <w:p w14:paraId="32831A2C" w14:textId="77777777" w:rsidR="00C76D2B" w:rsidRDefault="00C76D2B" w:rsidP="00C76D2B"/>
    <w:p w14:paraId="6A8FCD45" w14:textId="2599119B" w:rsidR="00C76D2B" w:rsidRDefault="00C76D2B" w:rsidP="00C76D2B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Severe  COVID</w:t>
      </w:r>
      <w:proofErr w:type="gramEnd"/>
      <w:r>
        <w:rPr>
          <w:b/>
          <w:bCs/>
          <w:sz w:val="32"/>
          <w:szCs w:val="32"/>
        </w:rPr>
        <w:t xml:space="preserve">-19  Patients  Treating  with  Lung  Transplantation  </w:t>
      </w:r>
    </w:p>
    <w:p w14:paraId="29C2AE41" w14:textId="5CDCD6B1" w:rsidR="00C76D2B" w:rsidRDefault="00C76D2B" w:rsidP="00C76D2B">
      <w:pPr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Attapon  Cheepsattayakorn</w:t>
      </w:r>
      <w:proofErr w:type="gramEnd"/>
      <w:r>
        <w:rPr>
          <w:b/>
          <w:bCs/>
          <w:sz w:val="24"/>
          <w:szCs w:val="24"/>
        </w:rPr>
        <w:t>, MD, FRCP, FRCP (Edin), FRCP (</w:t>
      </w:r>
      <w:proofErr w:type="spellStart"/>
      <w:r>
        <w:rPr>
          <w:b/>
          <w:bCs/>
          <w:sz w:val="24"/>
          <w:szCs w:val="24"/>
        </w:rPr>
        <w:t>Glasg</w:t>
      </w:r>
      <w:proofErr w:type="spellEnd"/>
      <w:r>
        <w:rPr>
          <w:b/>
          <w:bCs/>
          <w:sz w:val="24"/>
          <w:szCs w:val="24"/>
        </w:rPr>
        <w:t>), FACP, FCCP, FRCP (Thailand)</w:t>
      </w:r>
    </w:p>
    <w:p w14:paraId="6539F8E4" w14:textId="77777777" w:rsidR="00C76D2B" w:rsidRDefault="00C76D2B" w:rsidP="00C76D2B">
      <w:pPr>
        <w:rPr>
          <w:b/>
          <w:bCs/>
          <w:sz w:val="24"/>
          <w:szCs w:val="24"/>
          <w:vertAlign w:val="superscript"/>
        </w:rPr>
      </w:pPr>
    </w:p>
    <w:p w14:paraId="76E3E2F9" w14:textId="3C197CBF" w:rsidR="00C76D2B" w:rsidRPr="00BD2447" w:rsidRDefault="00C76D2B" w:rsidP="00C76D2B">
      <w:pPr>
        <w:rPr>
          <w:b/>
          <w:bCs/>
          <w:sz w:val="24"/>
          <w:szCs w:val="24"/>
        </w:rPr>
      </w:pPr>
      <w:proofErr w:type="gramStart"/>
      <w:r>
        <w:rPr>
          <w:rFonts w:cs="Angsana New"/>
          <w:b/>
          <w:bCs/>
          <w:sz w:val="24"/>
          <w:szCs w:val="24"/>
        </w:rPr>
        <w:t>Speaker</w:t>
      </w:r>
      <w:r w:rsidR="003122D5">
        <w:rPr>
          <w:rFonts w:cs="Angsana New"/>
          <w:b/>
          <w:bCs/>
          <w:sz w:val="24"/>
          <w:szCs w:val="24"/>
        </w:rPr>
        <w:t>’s</w:t>
      </w:r>
      <w:r>
        <w:rPr>
          <w:rFonts w:cs="Angsana New"/>
          <w:b/>
          <w:bCs/>
          <w:sz w:val="24"/>
          <w:szCs w:val="24"/>
        </w:rPr>
        <w:t xml:space="preserve">  </w:t>
      </w:r>
      <w:r w:rsidR="003122D5">
        <w:rPr>
          <w:rFonts w:cs="Angsana New"/>
          <w:b/>
          <w:bCs/>
          <w:sz w:val="24"/>
          <w:szCs w:val="24"/>
        </w:rPr>
        <w:t>Affiliation</w:t>
      </w:r>
      <w:proofErr w:type="gramEnd"/>
      <w:r w:rsidR="003122D5">
        <w:rPr>
          <w:rFonts w:cs="Angsana New"/>
          <w:b/>
          <w:bCs/>
          <w:sz w:val="24"/>
          <w:szCs w:val="24"/>
        </w:rPr>
        <w:t xml:space="preserve"> : </w:t>
      </w:r>
      <w:r>
        <w:rPr>
          <w:b/>
          <w:bCs/>
          <w:sz w:val="24"/>
          <w:szCs w:val="24"/>
        </w:rPr>
        <w:t xml:space="preserve"> 10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 Zonal  Tuberculosis  and  Chest  Disease  Center, 143  </w:t>
      </w:r>
      <w:proofErr w:type="spellStart"/>
      <w:r>
        <w:rPr>
          <w:b/>
          <w:bCs/>
          <w:sz w:val="24"/>
          <w:szCs w:val="24"/>
        </w:rPr>
        <w:t>Sridornchai</w:t>
      </w:r>
      <w:proofErr w:type="spellEnd"/>
      <w:r>
        <w:rPr>
          <w:b/>
          <w:bCs/>
          <w:sz w:val="24"/>
          <w:szCs w:val="24"/>
        </w:rPr>
        <w:t xml:space="preserve">  Road  </w:t>
      </w:r>
      <w:proofErr w:type="spellStart"/>
      <w:r>
        <w:rPr>
          <w:b/>
          <w:bCs/>
          <w:sz w:val="24"/>
          <w:szCs w:val="24"/>
        </w:rPr>
        <w:t>Changklan</w:t>
      </w:r>
      <w:proofErr w:type="spellEnd"/>
      <w:r>
        <w:rPr>
          <w:b/>
          <w:bCs/>
          <w:sz w:val="24"/>
          <w:szCs w:val="24"/>
        </w:rPr>
        <w:t xml:space="preserve">  Muang  Chiang  Mai  50100  Thailand</w:t>
      </w:r>
      <w:r w:rsidR="00BD2447">
        <w:rPr>
          <w:b/>
          <w:bCs/>
          <w:sz w:val="24"/>
          <w:szCs w:val="24"/>
        </w:rPr>
        <w:t xml:space="preserve">  and  </w:t>
      </w:r>
      <w:r w:rsidR="00BD2447">
        <w:rPr>
          <w:b/>
          <w:bCs/>
          <w:sz w:val="24"/>
          <w:szCs w:val="24"/>
        </w:rPr>
        <w:t xml:space="preserve">Faculty  of  Medicine, Western  University, </w:t>
      </w:r>
      <w:proofErr w:type="spellStart"/>
      <w:r w:rsidR="00BD2447">
        <w:rPr>
          <w:b/>
          <w:bCs/>
          <w:sz w:val="24"/>
          <w:szCs w:val="24"/>
        </w:rPr>
        <w:t>Pathumtani</w:t>
      </w:r>
      <w:proofErr w:type="spellEnd"/>
      <w:r w:rsidR="00BD2447">
        <w:rPr>
          <w:b/>
          <w:bCs/>
          <w:sz w:val="24"/>
          <w:szCs w:val="24"/>
        </w:rPr>
        <w:t xml:space="preserve">  Province, Thailand</w:t>
      </w:r>
      <w:r w:rsidR="00BD2447">
        <w:rPr>
          <w:b/>
          <w:bCs/>
          <w:sz w:val="24"/>
          <w:szCs w:val="24"/>
        </w:rPr>
        <w:t>;</w:t>
      </w:r>
      <w:r>
        <w:rPr>
          <w:b/>
          <w:bCs/>
          <w:sz w:val="24"/>
          <w:szCs w:val="24"/>
        </w:rPr>
        <w:t xml:space="preserve"> Tel </w:t>
      </w:r>
      <w:r>
        <w:rPr>
          <w:rFonts w:cs="Angsana New"/>
          <w:b/>
          <w:bCs/>
          <w:sz w:val="24"/>
          <w:szCs w:val="24"/>
          <w:cs/>
        </w:rPr>
        <w:t xml:space="preserve">: </w:t>
      </w:r>
      <w:r>
        <w:rPr>
          <w:b/>
          <w:bCs/>
          <w:sz w:val="24"/>
          <w:szCs w:val="24"/>
        </w:rPr>
        <w:t xml:space="preserve">66  53  140767 ; 66  53  276364 ; Fax </w:t>
      </w:r>
      <w:r>
        <w:rPr>
          <w:rFonts w:cs="Angsana New"/>
          <w:b/>
          <w:bCs/>
          <w:sz w:val="24"/>
          <w:szCs w:val="24"/>
          <w:cs/>
        </w:rPr>
        <w:t xml:space="preserve">: </w:t>
      </w:r>
      <w:r>
        <w:rPr>
          <w:b/>
          <w:bCs/>
          <w:sz w:val="24"/>
          <w:szCs w:val="24"/>
        </w:rPr>
        <w:t xml:space="preserve">66  53  140773 ; 66  53  273590 ; Email </w:t>
      </w:r>
      <w:r>
        <w:rPr>
          <w:rFonts w:cs="Angsana New"/>
          <w:b/>
          <w:bCs/>
          <w:sz w:val="24"/>
          <w:szCs w:val="24"/>
          <w:cs/>
        </w:rPr>
        <w:t xml:space="preserve">:  </w:t>
      </w:r>
      <w:hyperlink r:id="rId6" w:history="1">
        <w:r>
          <w:rPr>
            <w:rStyle w:val="Hyperlink"/>
            <w:rFonts w:cs="Angsana New"/>
            <w:b/>
            <w:bCs/>
            <w:sz w:val="24"/>
            <w:szCs w:val="24"/>
          </w:rPr>
          <w:t>Attapon1958@gmail.com</w:t>
        </w:r>
      </w:hyperlink>
      <w:r>
        <w:rPr>
          <w:rFonts w:cs="Angsana New"/>
          <w:b/>
          <w:bCs/>
          <w:sz w:val="24"/>
          <w:szCs w:val="24"/>
        </w:rPr>
        <w:t xml:space="preserve">  </w:t>
      </w:r>
    </w:p>
    <w:p w14:paraId="1F876FC2" w14:textId="77777777" w:rsidR="00C76D2B" w:rsidRDefault="00C76D2B" w:rsidP="00C76D2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</w:rPr>
      </w:pPr>
    </w:p>
    <w:p w14:paraId="29D71E59" w14:textId="77777777" w:rsidR="00C76D2B" w:rsidRDefault="00C76D2B" w:rsidP="00C76D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3CB41100" w14:textId="7AD6A799" w:rsidR="00C76D2B" w:rsidRDefault="00C76D2B" w:rsidP="00C76D2B">
      <w:pPr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  <w:proofErr w:type="gramStart"/>
      <w:r>
        <w:rPr>
          <w:b/>
          <w:bCs/>
          <w:sz w:val="28"/>
        </w:rPr>
        <w:t>A  previous</w:t>
      </w:r>
      <w:proofErr w:type="gramEnd"/>
      <w:r>
        <w:rPr>
          <w:b/>
          <w:bCs/>
          <w:sz w:val="28"/>
        </w:rPr>
        <w:t xml:space="preserve">  study  between  May  1, 2020  and  September  30, 2020  in  12  patients  with  underwent-bilateral-lung-transplant-COVID-19-related  ARDS  at  six  high-volume  transplant  centers  in  4  countries (USA-eight  recipients  at  three  centers, Italy-two  recipients  at  one  center, Austria-one  recipient, and  India-one  recipient).  </w:t>
      </w:r>
      <w:proofErr w:type="gramStart"/>
      <w:r>
        <w:rPr>
          <w:b/>
          <w:bCs/>
          <w:sz w:val="28"/>
        </w:rPr>
        <w:t>Nine  of</w:t>
      </w:r>
      <w:proofErr w:type="gramEnd"/>
      <w:r>
        <w:rPr>
          <w:b/>
          <w:bCs/>
          <w:sz w:val="28"/>
        </w:rPr>
        <w:t xml:space="preserve">  the  12  recipients  were  male  with  the  median  age  of  48  years (IQR : 41-51).  </w:t>
      </w:r>
      <w:proofErr w:type="gramStart"/>
      <w:r>
        <w:rPr>
          <w:b/>
          <w:bCs/>
          <w:sz w:val="28"/>
        </w:rPr>
        <w:t>Despite  extracorporeal</w:t>
      </w:r>
      <w:proofErr w:type="gramEnd"/>
      <w:r>
        <w:rPr>
          <w:b/>
          <w:bCs/>
          <w:sz w:val="28"/>
        </w:rPr>
        <w:t xml:space="preserve">  membrane  oxygenation  and  prolonged  mechanical  ventilation, severe  lung  damage  did  not  improve.  </w:t>
      </w:r>
      <w:proofErr w:type="gramStart"/>
      <w:r>
        <w:rPr>
          <w:b/>
          <w:bCs/>
          <w:sz w:val="28"/>
        </w:rPr>
        <w:t>Increased  intraoperative</w:t>
      </w:r>
      <w:proofErr w:type="gramEnd"/>
      <w:r>
        <w:rPr>
          <w:b/>
          <w:bCs/>
          <w:sz w:val="28"/>
        </w:rPr>
        <w:t xml:space="preserve">  transfusion  requirements, hilar  lymphadenopathy, and  severe  pleural  adhesions  were  the  technically  lung  transplant  procedure  challenging.  </w:t>
      </w:r>
      <w:proofErr w:type="gramStart"/>
      <w:r>
        <w:rPr>
          <w:b/>
          <w:bCs/>
          <w:sz w:val="28"/>
        </w:rPr>
        <w:t>The  explanted</w:t>
      </w:r>
      <w:proofErr w:type="gramEnd"/>
      <w:r>
        <w:rPr>
          <w:b/>
          <w:bCs/>
          <w:sz w:val="28"/>
        </w:rPr>
        <w:t xml:space="preserve">  lungs  demonstrated  extensive  continuing  acute  lung  injury.  </w:t>
      </w:r>
      <w:proofErr w:type="gramStart"/>
      <w:r>
        <w:rPr>
          <w:b/>
          <w:bCs/>
          <w:sz w:val="28"/>
        </w:rPr>
        <w:t>The  lung</w:t>
      </w:r>
      <w:proofErr w:type="gramEnd"/>
      <w:r>
        <w:rPr>
          <w:b/>
          <w:bCs/>
          <w:sz w:val="28"/>
        </w:rPr>
        <w:t xml:space="preserve">  allografts  demonstrated  no  recurrence  of  SARS-CoV-2  infection  or  pathology  and  similarity  with  short-term  survival  to  that  of  transplant  recipients  without  COVID-19  that  all  12  patients  could  demonstrate  the  ability  of  weaning  off  extracorporeal  support.  </w:t>
      </w:r>
      <w:proofErr w:type="gramStart"/>
      <w:r>
        <w:rPr>
          <w:b/>
          <w:bCs/>
          <w:sz w:val="28"/>
        </w:rPr>
        <w:t>The  characteristics</w:t>
      </w:r>
      <w:proofErr w:type="gramEnd"/>
      <w:r>
        <w:rPr>
          <w:b/>
          <w:bCs/>
          <w:sz w:val="28"/>
        </w:rPr>
        <w:t xml:space="preserve">  of  the  lung  donors  in  this  study  8  males (67 %), 4  females (33 %), median  age  of  34  years (29-43), 173 (170-179)  cm.  of  height, 84 (76-92)  kg  of  weight, 6.1 (5.1-7.2)  liters  of  the  predicted  total  lung  capacity, 5 (42 %)  with  having  smoking  history (current  or  past  smoker), 1 (8 %)  of  subarachnoid  bleeding  cause  of  death, 6 (50 %)  traumatic  brain  injury  cause  of  death, 3 (25 %)  drug  overdose  cause  of  death, 1 (8 %)  </w:t>
      </w:r>
      <w:r>
        <w:rPr>
          <w:b/>
          <w:bCs/>
          <w:sz w:val="28"/>
        </w:rPr>
        <w:lastRenderedPageBreak/>
        <w:t>of  intracerebral  bleeding  cause  of  death, 1 (8 %)  ischemic  brain  injury  cause  of  death, 7 (58 %)  of  normal  chest  roentgenogram, 5 (42 %)  of  abnormal  chest  roentgenogram, 84 (66-105)  hours  of  the  median  intubation  time, 417 (362-489)  of  the  PaO</w:t>
      </w:r>
      <w:r>
        <w:rPr>
          <w:b/>
          <w:bCs/>
          <w:sz w:val="28"/>
          <w:vertAlign w:val="subscript"/>
        </w:rPr>
        <w:t>2</w:t>
      </w:r>
      <w:r>
        <w:rPr>
          <w:b/>
          <w:bCs/>
          <w:sz w:val="28"/>
        </w:rPr>
        <w:t>/FiO</w:t>
      </w:r>
      <w:r>
        <w:rPr>
          <w:b/>
          <w:bCs/>
          <w:sz w:val="28"/>
          <w:vertAlign w:val="subscript"/>
        </w:rPr>
        <w:t>2</w:t>
      </w:r>
      <w:r>
        <w:rPr>
          <w:b/>
          <w:bCs/>
          <w:sz w:val="28"/>
        </w:rPr>
        <w:t xml:space="preserve">  at  the  time  of  offer, 39 (35-45)  mmHg  of  PaCO</w:t>
      </w:r>
      <w:r>
        <w:rPr>
          <w:b/>
          <w:bCs/>
          <w:sz w:val="28"/>
          <w:vertAlign w:val="subscript"/>
        </w:rPr>
        <w:t>2</w:t>
      </w:r>
      <w:r>
        <w:rPr>
          <w:b/>
          <w:bCs/>
          <w:sz w:val="28"/>
        </w:rPr>
        <w:t xml:space="preserve">  at  the  time  of  offer, 9 (75 %)  of  normal  bronchoscopy, 5 (25 %)  of  abnormal  bronchoscopy, 3 (25 %)  of  ideal  type  of  lung  donor, 9 (75 %)  of  marginal  type  of  lung  donor, and  5 (3-7)  of  median  Oto  score.  </w:t>
      </w:r>
      <w:proofErr w:type="gramStart"/>
      <w:r>
        <w:rPr>
          <w:b/>
          <w:bCs/>
          <w:sz w:val="28"/>
        </w:rPr>
        <w:t>Due  to</w:t>
      </w:r>
      <w:proofErr w:type="gramEnd"/>
      <w:r>
        <w:rPr>
          <w:b/>
          <w:bCs/>
          <w:sz w:val="28"/>
        </w:rPr>
        <w:t xml:space="preserve">  uncertainty  of  the  severe  pulmonary-SARS-CoV-2 (COVID-19)-infection  duration, the  major  concern  was  ongoing  SARS-CoV-2 (COVID-19)  infection  at  the  time  of  lung  transplantation  and  feasible  reinfection  of  the  lung  allograft.  </w:t>
      </w:r>
      <w:proofErr w:type="gramStart"/>
      <w:r>
        <w:rPr>
          <w:b/>
          <w:bCs/>
          <w:sz w:val="28"/>
        </w:rPr>
        <w:t>Several  recent</w:t>
      </w:r>
      <w:proofErr w:type="gramEnd"/>
      <w:r>
        <w:rPr>
          <w:b/>
          <w:bCs/>
          <w:sz w:val="28"/>
        </w:rPr>
        <w:t xml:space="preserve">  studies  indicated  rarely  detecting  replicating  virus  more  than  10  days  after  SARS-CoV-2 (COVID-19)  infection.  Currently, </w:t>
      </w:r>
      <w:proofErr w:type="gramStart"/>
      <w:r>
        <w:rPr>
          <w:b/>
          <w:bCs/>
          <w:sz w:val="28"/>
        </w:rPr>
        <w:t>the  Program</w:t>
      </w:r>
      <w:proofErr w:type="gramEnd"/>
      <w:r>
        <w:rPr>
          <w:b/>
          <w:bCs/>
          <w:sz w:val="28"/>
        </w:rPr>
        <w:t xml:space="preserve">  of  Vienna  Lung  Transplantation, takes  a  major  role  in  a  world  consortium  that  comprises  transplantation  experts  from  Asia, Europe, and  USA.  </w:t>
      </w:r>
      <w:proofErr w:type="gramStart"/>
      <w:r>
        <w:rPr>
          <w:b/>
          <w:bCs/>
          <w:sz w:val="28"/>
        </w:rPr>
        <w:t>They  established</w:t>
      </w:r>
      <w:proofErr w:type="gramEnd"/>
      <w:r>
        <w:rPr>
          <w:b/>
          <w:bCs/>
          <w:sz w:val="28"/>
        </w:rPr>
        <w:t xml:space="preserve">  the  medical  guidelines  for  the  potential-transplantation-global  criteria  as  the  following : 1) all  conservative  therapeutic  option  exhaustion, 2) COVID-19-related-damaged  lungs  un-recovery  despite  ventilation/ECMO  of  four  weeks  of  duration, 3) evidence  of  irreversible and  advanced  lung  damage  in  several  consecutive  CT  scans, 4) age  below </w:t>
      </w:r>
      <w:r w:rsidR="00214709">
        <w:rPr>
          <w:b/>
          <w:bCs/>
          <w:sz w:val="28"/>
        </w:rPr>
        <w:t xml:space="preserve"> </w:t>
      </w:r>
      <w:bookmarkStart w:id="0" w:name="_GoBack"/>
      <w:bookmarkEnd w:id="0"/>
      <w:r>
        <w:rPr>
          <w:b/>
          <w:bCs/>
          <w:sz w:val="28"/>
        </w:rPr>
        <w:t xml:space="preserve">65, and  5) no  relevant  comorbidities.  Additionally, </w:t>
      </w:r>
      <w:proofErr w:type="gramStart"/>
      <w:r>
        <w:rPr>
          <w:b/>
          <w:bCs/>
          <w:sz w:val="28"/>
        </w:rPr>
        <w:t>having  good</w:t>
      </w:r>
      <w:proofErr w:type="gramEnd"/>
      <w:r>
        <w:rPr>
          <w:b/>
          <w:bCs/>
          <w:sz w:val="28"/>
        </w:rPr>
        <w:t xml:space="preserve">  physical  condition  and  a  good  chance  of  complete  physical  rehabilitation  after  transplantation  of  the  lung  transplant  candidates  are  strictly  requested.    </w:t>
      </w:r>
    </w:p>
    <w:p w14:paraId="62FD1094" w14:textId="77777777" w:rsidR="00C76D2B" w:rsidRDefault="00C76D2B" w:rsidP="00C76D2B">
      <w:pPr>
        <w:rPr>
          <w:b/>
          <w:bCs/>
          <w:sz w:val="28"/>
        </w:rPr>
      </w:pPr>
      <w:r>
        <w:rPr>
          <w:b/>
          <w:bCs/>
          <w:sz w:val="28"/>
        </w:rPr>
        <w:t xml:space="preserve">  </w:t>
      </w:r>
      <w:proofErr w:type="gramStart"/>
      <w:r>
        <w:rPr>
          <w:b/>
          <w:bCs/>
          <w:sz w:val="28"/>
        </w:rPr>
        <w:t>In  conclusion</w:t>
      </w:r>
      <w:proofErr w:type="gramEnd"/>
      <w:r>
        <w:rPr>
          <w:b/>
          <w:bCs/>
          <w:sz w:val="28"/>
        </w:rPr>
        <w:t xml:space="preserve">, lung-transplant-long-term  outcomes  of  severe  COVID-19  patients  are  still  to  be  investigated.  </w:t>
      </w:r>
      <w:proofErr w:type="gramStart"/>
      <w:r>
        <w:rPr>
          <w:b/>
          <w:bCs/>
          <w:sz w:val="28"/>
        </w:rPr>
        <w:t>National  and</w:t>
      </w:r>
      <w:proofErr w:type="gramEnd"/>
      <w:r>
        <w:rPr>
          <w:b/>
          <w:bCs/>
          <w:sz w:val="28"/>
        </w:rPr>
        <w:t xml:space="preserve">  international  regulatory  transplantation  professional  bodies  should  track  the  transplant-COVID-19  patient  for  establishing  the  standard  guidelines.   </w:t>
      </w:r>
    </w:p>
    <w:p w14:paraId="2171E6F8" w14:textId="77777777" w:rsidR="00A0695B" w:rsidRDefault="00A0695B"/>
    <w:sectPr w:rsidR="00A069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AF8E1" w14:textId="77777777" w:rsidR="0064478D" w:rsidRDefault="0064478D" w:rsidP="0064478D">
      <w:pPr>
        <w:spacing w:after="0" w:line="240" w:lineRule="auto"/>
      </w:pPr>
      <w:r>
        <w:separator/>
      </w:r>
    </w:p>
  </w:endnote>
  <w:endnote w:type="continuationSeparator" w:id="0">
    <w:p w14:paraId="26ED9F62" w14:textId="77777777" w:rsidR="0064478D" w:rsidRDefault="0064478D" w:rsidP="00644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A41F6" w14:textId="77777777" w:rsidR="0064478D" w:rsidRDefault="006447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4542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347B6" w14:textId="1FBDD44E" w:rsidR="0064478D" w:rsidRDefault="006447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B7DB1A" w14:textId="77777777" w:rsidR="0064478D" w:rsidRDefault="006447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310AC" w14:textId="77777777" w:rsidR="0064478D" w:rsidRDefault="00644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3EC79" w14:textId="77777777" w:rsidR="0064478D" w:rsidRDefault="0064478D" w:rsidP="0064478D">
      <w:pPr>
        <w:spacing w:after="0" w:line="240" w:lineRule="auto"/>
      </w:pPr>
      <w:r>
        <w:separator/>
      </w:r>
    </w:p>
  </w:footnote>
  <w:footnote w:type="continuationSeparator" w:id="0">
    <w:p w14:paraId="6D5C9757" w14:textId="77777777" w:rsidR="0064478D" w:rsidRDefault="0064478D" w:rsidP="00644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FE576" w14:textId="77777777" w:rsidR="0064478D" w:rsidRDefault="006447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B51F0" w14:textId="77777777" w:rsidR="0064478D" w:rsidRDefault="006447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B6902" w14:textId="77777777" w:rsidR="0064478D" w:rsidRDefault="006447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2B"/>
    <w:rsid w:val="00041778"/>
    <w:rsid w:val="00204A59"/>
    <w:rsid w:val="00214709"/>
    <w:rsid w:val="003122D5"/>
    <w:rsid w:val="00526ACE"/>
    <w:rsid w:val="0064478D"/>
    <w:rsid w:val="00A01211"/>
    <w:rsid w:val="00A0695B"/>
    <w:rsid w:val="00AD0E61"/>
    <w:rsid w:val="00B62406"/>
    <w:rsid w:val="00BD2447"/>
    <w:rsid w:val="00C76D2B"/>
    <w:rsid w:val="00F57A0B"/>
    <w:rsid w:val="00F7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B67F"/>
  <w15:chartTrackingRefBased/>
  <w15:docId w15:val="{78027F64-9C41-41E4-99E3-CBB3A664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6D2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6D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78D"/>
  </w:style>
  <w:style w:type="paragraph" w:styleId="Footer">
    <w:name w:val="footer"/>
    <w:basedOn w:val="Normal"/>
    <w:link w:val="FooterChar"/>
    <w:uiPriority w:val="99"/>
    <w:unhideWhenUsed/>
    <w:rsid w:val="00644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tapon1958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attapon cheepsattayakorn</dc:creator>
  <cp:keywords/>
  <dc:description/>
  <cp:lastModifiedBy>attapon cheepsattayakorn</cp:lastModifiedBy>
  <cp:revision>5</cp:revision>
  <dcterms:created xsi:type="dcterms:W3CDTF">2021-11-10T17:46:00Z</dcterms:created>
  <dcterms:modified xsi:type="dcterms:W3CDTF">2021-11-10T17:47:00Z</dcterms:modified>
</cp:coreProperties>
</file>