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05" w:rsidRPr="003F216C" w:rsidRDefault="00CB7905" w:rsidP="00CB7905">
      <w:pPr>
        <w:rPr>
          <w:rFonts w:eastAsia="MS PGothic" w:hAnsi="Arial"/>
          <w:color w:val="000000"/>
        </w:rPr>
      </w:pPr>
      <w:r w:rsidRPr="003F216C">
        <w:rPr>
          <w:rFonts w:eastAsia="MS PGothic" w:hAnsi="Arial"/>
          <w:color w:val="000000"/>
        </w:rPr>
        <w:t xml:space="preserve">Title: </w:t>
      </w:r>
      <w:r w:rsidR="00833646" w:rsidRPr="003F216C">
        <w:rPr>
          <w:rFonts w:eastAsia="MS PGothic" w:hAnsi="Arial"/>
          <w:color w:val="000000"/>
        </w:rPr>
        <w:t>Nursing Incivility and the Newly Licensed Nurse</w:t>
      </w:r>
    </w:p>
    <w:p w:rsidR="00CB7905" w:rsidRDefault="00833646" w:rsidP="00CB7905">
      <w:pPr>
        <w:rPr>
          <w:rFonts w:eastAsia="MS PGothic" w:hAnsi="Arial"/>
          <w:color w:val="000000"/>
        </w:rPr>
      </w:pPr>
      <w:r>
        <w:rPr>
          <w:rFonts w:eastAsia="MS PGothic" w:hAnsi="Arial"/>
          <w:color w:val="000000"/>
        </w:rPr>
        <w:br/>
        <w:t xml:space="preserve">Name: Debra Cyncynatus, Dr. Angela </w:t>
      </w:r>
      <w:proofErr w:type="spellStart"/>
      <w:r>
        <w:rPr>
          <w:rFonts w:eastAsia="MS PGothic" w:hAnsi="Arial"/>
          <w:color w:val="000000"/>
        </w:rPr>
        <w:t>Saathoff</w:t>
      </w:r>
      <w:proofErr w:type="spellEnd"/>
      <w:r>
        <w:rPr>
          <w:rFonts w:eastAsia="MS PGothic" w:hAnsi="Arial"/>
          <w:color w:val="000000"/>
        </w:rPr>
        <w:t xml:space="preserve">, Dr. Tracey </w:t>
      </w:r>
      <w:proofErr w:type="spellStart"/>
      <w:r>
        <w:rPr>
          <w:rFonts w:eastAsia="MS PGothic" w:hAnsi="Arial"/>
          <w:color w:val="000000"/>
        </w:rPr>
        <w:t>Soper</w:t>
      </w:r>
      <w:proofErr w:type="spellEnd"/>
      <w:r>
        <w:rPr>
          <w:rFonts w:eastAsia="MS PGothic" w:hAnsi="Arial"/>
          <w:color w:val="000000"/>
        </w:rPr>
        <w:t xml:space="preserve"> and Dr. Angelica Abuton</w:t>
      </w:r>
    </w:p>
    <w:p w:rsidR="00CB7905" w:rsidRDefault="00833646" w:rsidP="00CB7905">
      <w:pPr>
        <w:rPr>
          <w:rFonts w:eastAsia="MS PGothic" w:hAnsi="Arial"/>
          <w:color w:val="000000"/>
        </w:rPr>
      </w:pPr>
      <w:r>
        <w:rPr>
          <w:rFonts w:eastAsia="MS PGothic" w:hAnsi="Arial"/>
          <w:color w:val="000000"/>
        </w:rPr>
        <w:t>Capella University School of Nursing</w:t>
      </w:r>
      <w:r w:rsidR="00CB7905">
        <w:rPr>
          <w:rFonts w:eastAsia="MS PGothic" w:hAnsi="Arial"/>
          <w:color w:val="000000"/>
        </w:rPr>
        <w:t xml:space="preserve">, </w:t>
      </w:r>
      <w:r w:rsidRPr="00833646">
        <w:rPr>
          <w:rFonts w:eastAsia="MS PGothic" w:hAnsi="Arial"/>
          <w:color w:val="000000"/>
        </w:rPr>
        <w:t>MN 55402</w:t>
      </w: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7"/>
          <w:footerReference w:type="default" r:id="rId8"/>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t>Abstract (300 word limit)</w:t>
      </w:r>
    </w:p>
    <w:p w:rsidR="003F216C" w:rsidRPr="003F216C" w:rsidRDefault="003F216C" w:rsidP="003F216C">
      <w:pPr>
        <w:pStyle w:val="APA"/>
        <w:spacing w:line="240" w:lineRule="auto"/>
        <w:ind w:firstLine="0"/>
        <w:rPr>
          <w:rFonts w:ascii="Tw Cen MT" w:eastAsia="MS PGothic" w:hAnsi="Arial" w:cs="Tw Cen MT"/>
          <w:color w:val="000000"/>
          <w:sz w:val="22"/>
          <w:szCs w:val="22"/>
        </w:rPr>
      </w:pPr>
      <w:r w:rsidRPr="003F216C">
        <w:rPr>
          <w:rFonts w:ascii="Tw Cen MT" w:eastAsia="MS PGothic" w:hAnsi="Arial" w:cs="Tw Cen MT"/>
          <w:color w:val="000000"/>
          <w:sz w:val="22"/>
          <w:szCs w:val="22"/>
        </w:rPr>
        <w:t xml:space="preserve">Workplace bullying can have a negative impact on the newly licensed nurse, the patients they care for and turnover rates for nursing.  This project was chosen because nurse residents reported a reduction in their satisfaction and commitment score on the 12-month Progression Survey and the nursing turnover rates had increased over the past two years.  The purpose of this project was to implement a non-traditional anonymous reporting system, provide workplace bullying education and implement a zero-tolerance policy with the goal of improving the nurse resident satisfaction and commitment scores.  A 10-week quality improvement project was conducted, using the Wounded Healer Theory, to help the </w:t>
      </w:r>
      <w:r w:rsidRPr="003F216C">
        <w:rPr>
          <w:rFonts w:ascii="Tw Cen MT" w:eastAsia="MS PGothic" w:hAnsi="Arial" w:cs="Tw Cen MT"/>
          <w:color w:val="000000"/>
          <w:sz w:val="22"/>
          <w:szCs w:val="22"/>
        </w:rPr>
        <w:t>‘</w:t>
      </w:r>
      <w:r w:rsidRPr="003F216C">
        <w:rPr>
          <w:rFonts w:ascii="Tw Cen MT" w:eastAsia="MS PGothic" w:hAnsi="Arial" w:cs="Tw Cen MT"/>
          <w:color w:val="000000"/>
          <w:sz w:val="22"/>
          <w:szCs w:val="22"/>
        </w:rPr>
        <w:t>walking wounded</w:t>
      </w:r>
      <w:r w:rsidRPr="003F216C">
        <w:rPr>
          <w:rFonts w:ascii="Tw Cen MT" w:eastAsia="MS PGothic" w:hAnsi="Arial" w:cs="Tw Cen MT"/>
          <w:color w:val="000000"/>
          <w:sz w:val="22"/>
          <w:szCs w:val="22"/>
        </w:rPr>
        <w:t>’</w:t>
      </w:r>
      <w:r w:rsidRPr="003F216C">
        <w:rPr>
          <w:rFonts w:ascii="Tw Cen MT" w:eastAsia="MS PGothic" w:hAnsi="Arial" w:cs="Tw Cen MT"/>
          <w:color w:val="000000"/>
          <w:sz w:val="22"/>
          <w:szCs w:val="22"/>
        </w:rPr>
        <w:t xml:space="preserve"> nurse cope with stressors from bullying.  The following PICOT question was asked:  With newly licensed nurses in the acute care setting, how does a traditional anonymous reporting system (phone hotline) to identify workplace bullying, compared to a non-traditional anonymous reporting system (Google Voice) for workplace bullying, affect the satisfaction and commitment score on the 12-month Progression Survey, within 10 weeks?  Data was collected at the end of the project and was analyzed for changes in the satisfaction and commitment domain.  It was assumed that there would be an increase in the scores to the expected baseline or 10%, stretch goal.  However, the scores fell short of the expected benchmark by 1% and the stretch goal was missed by 2.5%.   There was a lack of Google Voice reports which showed the need to further address this issue from an organizational perspective versus a singular group. </w:t>
      </w:r>
    </w:p>
    <w:p w:rsidR="003F216C" w:rsidRPr="003F216C" w:rsidRDefault="003F216C" w:rsidP="003F216C">
      <w:pPr>
        <w:pStyle w:val="APA"/>
        <w:spacing w:line="240" w:lineRule="auto"/>
        <w:ind w:firstLine="0"/>
        <w:rPr>
          <w:rFonts w:ascii="Tw Cen MT" w:eastAsia="MS PGothic" w:hAnsi="Arial" w:cs="Tw Cen MT"/>
          <w:color w:val="000000"/>
          <w:sz w:val="22"/>
          <w:szCs w:val="22"/>
        </w:rPr>
      </w:pPr>
      <w:r>
        <w:rPr>
          <w:bCs/>
          <w:szCs w:val="24"/>
        </w:rPr>
        <w:tab/>
      </w:r>
      <w:r w:rsidRPr="003F216C">
        <w:rPr>
          <w:rFonts w:ascii="Tw Cen MT" w:eastAsia="MS PGothic" w:hAnsi="Arial" w:cs="Tw Cen MT"/>
          <w:color w:val="000000"/>
          <w:sz w:val="22"/>
          <w:szCs w:val="22"/>
        </w:rPr>
        <w:t xml:space="preserve">Key words:  workplace bullying, anonymous reporting, Google Voice, newly licensed nurse, nurse education, zero-tolerance policy.  </w:t>
      </w:r>
    </w:p>
    <w:p w:rsidR="008E4560" w:rsidRDefault="008E4560" w:rsidP="008E4560">
      <w:pPr>
        <w:pStyle w:val="Heading3"/>
        <w:spacing w:before="74"/>
      </w:pPr>
      <w:r>
        <w:rPr>
          <w:b w:val="0"/>
        </w:rPr>
        <w:br w:type="column"/>
      </w:r>
      <w:r>
        <w:rPr>
          <w:color w:val="BF5A14"/>
        </w:rPr>
        <w:t>Image</w:t>
      </w:r>
    </w:p>
    <w:p w:rsidR="008E4560" w:rsidRDefault="00E51431" w:rsidP="008E4560">
      <w:pPr>
        <w:pStyle w:val="BodyText"/>
        <w:spacing w:before="2"/>
        <w:rPr>
          <w:rFonts w:ascii="Arial"/>
          <w:b/>
          <w:sz w:val="16"/>
        </w:rPr>
      </w:pPr>
      <w:r>
        <w:rPr>
          <w:rFonts w:ascii="Arial"/>
          <w:b/>
          <w:sz w:val="16"/>
        </w:rPr>
        <w:tab/>
      </w:r>
      <w:r>
        <w:rPr>
          <w:noProof/>
        </w:rPr>
        <w:drawing>
          <wp:inline distT="0" distB="0" distL="0" distR="0" wp14:anchorId="109224A3" wp14:editId="51943451">
            <wp:extent cx="2205355" cy="115824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76053" cy="1195370"/>
                    </a:xfrm>
                    <a:prstGeom prst="rect">
                      <a:avLst/>
                    </a:prstGeom>
                  </pic:spPr>
                </pic:pic>
              </a:graphicData>
            </a:graphic>
          </wp:inline>
        </w:drawing>
      </w:r>
    </w:p>
    <w:p w:rsidR="008E4560" w:rsidRDefault="008E4560" w:rsidP="008E4560">
      <w:pPr>
        <w:spacing w:line="204" w:lineRule="exact"/>
        <w:rPr>
          <w:rFonts w:ascii="Arial"/>
          <w:b/>
          <w:sz w:val="20"/>
        </w:rPr>
      </w:pPr>
      <w:r>
        <w:rPr>
          <w:rFonts w:ascii="Arial"/>
          <w:b/>
          <w:color w:val="BF5A14"/>
          <w:sz w:val="20"/>
        </w:rPr>
        <w:br/>
        <w:t>Recent Publications (minimum 5)</w:t>
      </w:r>
    </w:p>
    <w:p w:rsidR="00E51431" w:rsidRPr="00E51431" w:rsidRDefault="00E51431" w:rsidP="00E51431">
      <w:pPr>
        <w:pStyle w:val="APAReference"/>
        <w:numPr>
          <w:ilvl w:val="0"/>
          <w:numId w:val="2"/>
        </w:numPr>
        <w:spacing w:line="240" w:lineRule="auto"/>
        <w:rPr>
          <w:rFonts w:asciiTheme="minorHAnsi" w:hAnsiTheme="minorHAnsi"/>
          <w:sz w:val="18"/>
          <w:szCs w:val="18"/>
        </w:rPr>
      </w:pPr>
      <w:bookmarkStart w:id="0" w:name="R436767993221875I533381"/>
      <w:bookmarkStart w:id="1" w:name="R435206246875000I0"/>
      <w:r w:rsidRPr="00E51431">
        <w:rPr>
          <w:rFonts w:asciiTheme="minorHAnsi" w:hAnsiTheme="minorHAnsi"/>
          <w:sz w:val="18"/>
          <w:szCs w:val="18"/>
        </w:rPr>
        <w:t xml:space="preserve">Bambi, S., </w:t>
      </w:r>
      <w:proofErr w:type="spellStart"/>
      <w:r w:rsidRPr="00E51431">
        <w:rPr>
          <w:rFonts w:asciiTheme="minorHAnsi" w:hAnsiTheme="minorHAnsi"/>
          <w:sz w:val="18"/>
          <w:szCs w:val="18"/>
        </w:rPr>
        <w:t>Guazzini</w:t>
      </w:r>
      <w:proofErr w:type="spellEnd"/>
      <w:r w:rsidRPr="00E51431">
        <w:rPr>
          <w:rFonts w:asciiTheme="minorHAnsi" w:hAnsiTheme="minorHAnsi"/>
          <w:sz w:val="18"/>
          <w:szCs w:val="18"/>
        </w:rPr>
        <w:t xml:space="preserve">, A., </w:t>
      </w:r>
      <w:proofErr w:type="spellStart"/>
      <w:r w:rsidRPr="00E51431">
        <w:rPr>
          <w:rFonts w:asciiTheme="minorHAnsi" w:hAnsiTheme="minorHAnsi"/>
          <w:sz w:val="18"/>
          <w:szCs w:val="18"/>
        </w:rPr>
        <w:t>Piredda</w:t>
      </w:r>
      <w:proofErr w:type="spellEnd"/>
      <w:r w:rsidRPr="00E51431">
        <w:rPr>
          <w:rFonts w:asciiTheme="minorHAnsi" w:hAnsiTheme="minorHAnsi"/>
          <w:sz w:val="18"/>
          <w:szCs w:val="18"/>
        </w:rPr>
        <w:t xml:space="preserve">, M., </w:t>
      </w:r>
      <w:proofErr w:type="spellStart"/>
      <w:r w:rsidRPr="00E51431">
        <w:rPr>
          <w:rFonts w:asciiTheme="minorHAnsi" w:hAnsiTheme="minorHAnsi"/>
          <w:sz w:val="18"/>
          <w:szCs w:val="18"/>
        </w:rPr>
        <w:t>Lucchini</w:t>
      </w:r>
      <w:proofErr w:type="spellEnd"/>
      <w:r w:rsidRPr="00E51431">
        <w:rPr>
          <w:rFonts w:asciiTheme="minorHAnsi" w:hAnsiTheme="minorHAnsi"/>
          <w:sz w:val="18"/>
          <w:szCs w:val="18"/>
        </w:rPr>
        <w:t xml:space="preserve">, A., De </w:t>
      </w:r>
      <w:proofErr w:type="spellStart"/>
      <w:r w:rsidRPr="00E51431">
        <w:rPr>
          <w:rFonts w:asciiTheme="minorHAnsi" w:hAnsiTheme="minorHAnsi"/>
          <w:sz w:val="18"/>
          <w:szCs w:val="18"/>
        </w:rPr>
        <w:t>Marinis</w:t>
      </w:r>
      <w:proofErr w:type="spellEnd"/>
      <w:r w:rsidRPr="00E51431">
        <w:rPr>
          <w:rFonts w:asciiTheme="minorHAnsi" w:hAnsiTheme="minorHAnsi"/>
          <w:sz w:val="18"/>
          <w:szCs w:val="18"/>
        </w:rPr>
        <w:t xml:space="preserve">, M. G., &amp; </w:t>
      </w:r>
      <w:proofErr w:type="spellStart"/>
      <w:r w:rsidRPr="00E51431">
        <w:rPr>
          <w:rFonts w:asciiTheme="minorHAnsi" w:hAnsiTheme="minorHAnsi"/>
          <w:sz w:val="18"/>
          <w:szCs w:val="18"/>
        </w:rPr>
        <w:t>Rasero</w:t>
      </w:r>
      <w:proofErr w:type="spellEnd"/>
      <w:r w:rsidRPr="00E51431">
        <w:rPr>
          <w:rFonts w:asciiTheme="minorHAnsi" w:hAnsiTheme="minorHAnsi"/>
          <w:sz w:val="18"/>
          <w:szCs w:val="18"/>
        </w:rPr>
        <w:t xml:space="preserve">, L. (2019). Negative interactions among nurses:  An explorative study on lateral violence and bullying in nursing work settings. </w:t>
      </w:r>
      <w:r w:rsidRPr="00E51431">
        <w:rPr>
          <w:rFonts w:asciiTheme="minorHAnsi" w:hAnsiTheme="minorHAnsi"/>
          <w:i/>
          <w:sz w:val="18"/>
          <w:szCs w:val="18"/>
        </w:rPr>
        <w:t>Journal of Nursing Management</w:t>
      </w:r>
      <w:r w:rsidRPr="00E51431">
        <w:rPr>
          <w:rFonts w:asciiTheme="minorHAnsi" w:hAnsiTheme="minorHAnsi"/>
          <w:sz w:val="18"/>
          <w:szCs w:val="18"/>
        </w:rPr>
        <w:t xml:space="preserve">, 1-9. </w:t>
      </w:r>
      <w:hyperlink r:id="rId10" w:history="1">
        <w:r w:rsidRPr="00E51431">
          <w:rPr>
            <w:rStyle w:val="Hyperlink"/>
            <w:rFonts w:asciiTheme="minorHAnsi" w:eastAsia="Arial" w:hAnsiTheme="minorHAnsi"/>
            <w:sz w:val="18"/>
            <w:szCs w:val="18"/>
          </w:rPr>
          <w:t>https://doi.org/10.1111/jonm.12738</w:t>
        </w:r>
      </w:hyperlink>
      <w:bookmarkEnd w:id="1"/>
    </w:p>
    <w:p w:rsidR="00E51431" w:rsidRPr="00E51431" w:rsidRDefault="00E51431" w:rsidP="00E51431">
      <w:pPr>
        <w:pStyle w:val="APAReference"/>
        <w:numPr>
          <w:ilvl w:val="0"/>
          <w:numId w:val="2"/>
        </w:numPr>
        <w:spacing w:line="240" w:lineRule="auto"/>
        <w:rPr>
          <w:rFonts w:asciiTheme="minorHAnsi" w:hAnsiTheme="minorHAnsi"/>
          <w:b/>
          <w:sz w:val="18"/>
          <w:szCs w:val="18"/>
        </w:rPr>
      </w:pPr>
      <w:bookmarkStart w:id="2" w:name="R435206561921296I0"/>
      <w:proofErr w:type="spellStart"/>
      <w:r w:rsidRPr="00E51431">
        <w:rPr>
          <w:rFonts w:asciiTheme="minorHAnsi" w:hAnsiTheme="minorHAnsi"/>
          <w:sz w:val="18"/>
          <w:szCs w:val="18"/>
        </w:rPr>
        <w:t>Blando</w:t>
      </w:r>
      <w:proofErr w:type="spellEnd"/>
      <w:r w:rsidRPr="00E51431">
        <w:rPr>
          <w:rFonts w:asciiTheme="minorHAnsi" w:hAnsiTheme="minorHAnsi"/>
          <w:sz w:val="18"/>
          <w:szCs w:val="18"/>
        </w:rPr>
        <w:t>, J., Ridenour, M., Hartley, D., &amp; Casteel, C. (</w:t>
      </w:r>
      <w:r w:rsidRPr="00E51431">
        <w:rPr>
          <w:rFonts w:asciiTheme="minorHAnsi" w:hAnsiTheme="minorHAnsi"/>
          <w:i/>
          <w:sz w:val="18"/>
          <w:szCs w:val="18"/>
        </w:rPr>
        <w:t>20</w:t>
      </w:r>
      <w:r w:rsidRPr="00E51431">
        <w:rPr>
          <w:rFonts w:asciiTheme="minorHAnsi" w:hAnsiTheme="minorHAnsi"/>
          <w:sz w:val="18"/>
          <w:szCs w:val="18"/>
        </w:rPr>
        <w:t xml:space="preserve">16). Barriers to effective implementation of programs for the prevention of workplace violence in hospitals. </w:t>
      </w:r>
      <w:r w:rsidRPr="00E51431">
        <w:rPr>
          <w:rFonts w:asciiTheme="minorHAnsi" w:hAnsiTheme="minorHAnsi"/>
          <w:i/>
          <w:sz w:val="18"/>
          <w:szCs w:val="18"/>
        </w:rPr>
        <w:t>Online Journal of Issues in Nursing</w:t>
      </w:r>
      <w:r w:rsidRPr="00E51431">
        <w:rPr>
          <w:rFonts w:asciiTheme="minorHAnsi" w:hAnsiTheme="minorHAnsi"/>
          <w:sz w:val="18"/>
          <w:szCs w:val="18"/>
        </w:rPr>
        <w:t>, 20(1), 1-16. Retrieved from https://www.ncbi.nlm.nih.gov/pmc/articles/PMC4719768/</w:t>
      </w:r>
      <w:bookmarkEnd w:id="2"/>
    </w:p>
    <w:p w:rsidR="00E51431" w:rsidRPr="00E51431" w:rsidRDefault="00E51431" w:rsidP="00E51431">
      <w:pPr>
        <w:pStyle w:val="APAReference"/>
        <w:numPr>
          <w:ilvl w:val="0"/>
          <w:numId w:val="2"/>
        </w:numPr>
        <w:spacing w:line="240" w:lineRule="auto"/>
        <w:rPr>
          <w:rFonts w:asciiTheme="minorHAnsi" w:hAnsiTheme="minorHAnsi"/>
          <w:sz w:val="18"/>
          <w:szCs w:val="18"/>
        </w:rPr>
      </w:pPr>
      <w:proofErr w:type="spellStart"/>
      <w:r w:rsidRPr="00E51431">
        <w:rPr>
          <w:rFonts w:asciiTheme="minorHAnsi" w:hAnsiTheme="minorHAnsi"/>
          <w:sz w:val="18"/>
          <w:szCs w:val="18"/>
        </w:rPr>
        <w:t>Feeley</w:t>
      </w:r>
      <w:proofErr w:type="spellEnd"/>
      <w:r w:rsidRPr="00E51431">
        <w:rPr>
          <w:rFonts w:asciiTheme="minorHAnsi" w:hAnsiTheme="minorHAnsi"/>
          <w:sz w:val="18"/>
          <w:szCs w:val="18"/>
        </w:rPr>
        <w:t xml:space="preserve">, D. (2019). 4 ways to connect technology and quality. Retrieved from </w:t>
      </w:r>
      <w:hyperlink r:id="rId11" w:history="1">
        <w:r w:rsidRPr="00E51431">
          <w:rPr>
            <w:rStyle w:val="Hyperlink"/>
            <w:rFonts w:asciiTheme="minorHAnsi" w:eastAsia="Arial" w:hAnsiTheme="minorHAnsi"/>
            <w:sz w:val="18"/>
            <w:szCs w:val="18"/>
          </w:rPr>
          <w:t>http://www.ihi.org/communities/blogs/4-ways-to-connect-technology-and-quality?utm_campaign=tw&amp;utm_source=hs_email&amp;utm_medium=email&amp;utm_content=75069189&amp;_hsenc=p2ANqtz-8wdxJ8tkwqd0r4CH-SLQkBWpLamG90VYFDMRKDfTpGLo2js-9p0yeYHuasiXMnyVIpdX1TaI-ZbRY8BgbmaGzMJZ8JUPcr20fBEyOKXja8Wqr6hUo&amp;_hsmi=75069189</w:t>
        </w:r>
      </w:hyperlink>
      <w:bookmarkEnd w:id="0"/>
    </w:p>
    <w:p w:rsidR="00E51431" w:rsidRPr="00E51431" w:rsidRDefault="00E51431" w:rsidP="00E51431">
      <w:pPr>
        <w:pStyle w:val="APAReference"/>
        <w:numPr>
          <w:ilvl w:val="0"/>
          <w:numId w:val="2"/>
        </w:numPr>
        <w:spacing w:line="240" w:lineRule="auto"/>
        <w:rPr>
          <w:rFonts w:asciiTheme="minorHAnsi" w:hAnsiTheme="minorHAnsi"/>
          <w:sz w:val="18"/>
          <w:szCs w:val="18"/>
        </w:rPr>
      </w:pPr>
      <w:bookmarkStart w:id="3" w:name="R438146604861111I0"/>
      <w:r w:rsidRPr="00E51431">
        <w:rPr>
          <w:rFonts w:asciiTheme="minorHAnsi" w:hAnsiTheme="minorHAnsi"/>
          <w:sz w:val="18"/>
          <w:szCs w:val="18"/>
        </w:rPr>
        <w:t xml:space="preserve">Jones, A. I. (2017). Experience of protagonists in workplace bullying:  </w:t>
      </w:r>
      <w:proofErr w:type="gramStart"/>
      <w:r w:rsidRPr="00E51431">
        <w:rPr>
          <w:rFonts w:asciiTheme="minorHAnsi" w:hAnsiTheme="minorHAnsi"/>
          <w:sz w:val="18"/>
          <w:szCs w:val="18"/>
        </w:rPr>
        <w:t>A</w:t>
      </w:r>
      <w:proofErr w:type="gramEnd"/>
      <w:r w:rsidRPr="00E51431">
        <w:rPr>
          <w:rFonts w:asciiTheme="minorHAnsi" w:hAnsiTheme="minorHAnsi"/>
          <w:sz w:val="18"/>
          <w:szCs w:val="18"/>
        </w:rPr>
        <w:t xml:space="preserve"> integrated review. </w:t>
      </w:r>
      <w:r w:rsidRPr="00E51431">
        <w:rPr>
          <w:rFonts w:asciiTheme="minorHAnsi" w:hAnsiTheme="minorHAnsi"/>
          <w:i/>
          <w:sz w:val="18"/>
          <w:szCs w:val="18"/>
        </w:rPr>
        <w:t>International Journal of Nursing &amp; Clinical Practices</w:t>
      </w:r>
      <w:r w:rsidRPr="00E51431">
        <w:rPr>
          <w:rFonts w:asciiTheme="minorHAnsi" w:hAnsiTheme="minorHAnsi"/>
          <w:sz w:val="18"/>
          <w:szCs w:val="18"/>
        </w:rPr>
        <w:t xml:space="preserve">, </w:t>
      </w:r>
      <w:r w:rsidRPr="00E51431">
        <w:rPr>
          <w:rFonts w:asciiTheme="minorHAnsi" w:hAnsiTheme="minorHAnsi"/>
          <w:i/>
          <w:sz w:val="18"/>
          <w:szCs w:val="18"/>
        </w:rPr>
        <w:t>4</w:t>
      </w:r>
      <w:r w:rsidRPr="00E51431">
        <w:rPr>
          <w:rFonts w:asciiTheme="minorHAnsi" w:hAnsiTheme="minorHAnsi"/>
          <w:sz w:val="18"/>
          <w:szCs w:val="18"/>
        </w:rPr>
        <w:t xml:space="preserve">(246), 1-6. </w:t>
      </w:r>
      <w:hyperlink r:id="rId12" w:history="1">
        <w:r w:rsidRPr="00E51431">
          <w:rPr>
            <w:rStyle w:val="Hyperlink"/>
            <w:rFonts w:asciiTheme="minorHAnsi" w:eastAsia="Arial" w:hAnsiTheme="minorHAnsi"/>
            <w:sz w:val="18"/>
            <w:szCs w:val="18"/>
          </w:rPr>
          <w:t>https://doi.org/10.5344/2394-4978/2017/246</w:t>
        </w:r>
      </w:hyperlink>
      <w:bookmarkEnd w:id="3"/>
    </w:p>
    <w:p w:rsidR="00E51431" w:rsidRPr="00E51431" w:rsidRDefault="00E51431" w:rsidP="00E51431">
      <w:pPr>
        <w:pStyle w:val="APAReference"/>
        <w:numPr>
          <w:ilvl w:val="0"/>
          <w:numId w:val="2"/>
        </w:numPr>
        <w:spacing w:line="240" w:lineRule="auto"/>
        <w:rPr>
          <w:rFonts w:asciiTheme="minorHAnsi" w:hAnsiTheme="minorHAnsi"/>
          <w:sz w:val="18"/>
          <w:szCs w:val="18"/>
        </w:rPr>
      </w:pPr>
      <w:bookmarkStart w:id="4" w:name="R435218084722222I0"/>
      <w:r w:rsidRPr="00E51431">
        <w:rPr>
          <w:rFonts w:asciiTheme="minorHAnsi" w:hAnsiTheme="minorHAnsi"/>
          <w:sz w:val="18"/>
          <w:szCs w:val="18"/>
        </w:rPr>
        <w:t xml:space="preserve">Pfeifer, L. E., &amp; </w:t>
      </w:r>
      <w:proofErr w:type="spellStart"/>
      <w:r w:rsidRPr="00E51431">
        <w:rPr>
          <w:rFonts w:asciiTheme="minorHAnsi" w:hAnsiTheme="minorHAnsi"/>
          <w:sz w:val="18"/>
          <w:szCs w:val="18"/>
        </w:rPr>
        <w:t>Vessey</w:t>
      </w:r>
      <w:proofErr w:type="spellEnd"/>
      <w:r w:rsidRPr="00E51431">
        <w:rPr>
          <w:rFonts w:asciiTheme="minorHAnsi" w:hAnsiTheme="minorHAnsi"/>
          <w:sz w:val="18"/>
          <w:szCs w:val="18"/>
        </w:rPr>
        <w:t xml:space="preserve">, J. A. (2017). An integrative review of bullying and lateral violence among nurses in magnet® organizations. </w:t>
      </w:r>
      <w:r w:rsidRPr="00E51431">
        <w:rPr>
          <w:rFonts w:asciiTheme="minorHAnsi" w:hAnsiTheme="minorHAnsi"/>
          <w:i/>
          <w:sz w:val="18"/>
          <w:szCs w:val="18"/>
        </w:rPr>
        <w:t>Policy, Politics, &amp; Nursing Practice</w:t>
      </w:r>
      <w:r w:rsidRPr="00E51431">
        <w:rPr>
          <w:rFonts w:asciiTheme="minorHAnsi" w:hAnsiTheme="minorHAnsi"/>
          <w:sz w:val="18"/>
          <w:szCs w:val="18"/>
        </w:rPr>
        <w:t xml:space="preserve">, </w:t>
      </w:r>
      <w:r w:rsidRPr="00E51431">
        <w:rPr>
          <w:rFonts w:asciiTheme="minorHAnsi" w:hAnsiTheme="minorHAnsi"/>
          <w:i/>
          <w:sz w:val="18"/>
          <w:szCs w:val="18"/>
        </w:rPr>
        <w:t>18</w:t>
      </w:r>
      <w:r w:rsidRPr="00E51431">
        <w:rPr>
          <w:rFonts w:asciiTheme="minorHAnsi" w:hAnsiTheme="minorHAnsi"/>
          <w:sz w:val="18"/>
          <w:szCs w:val="18"/>
        </w:rPr>
        <w:t>(3), 113-124. https://doi.org/10.1177/1527154418755802</w:t>
      </w:r>
      <w:bookmarkEnd w:id="4"/>
    </w:p>
    <w:p w:rsidR="00E51431" w:rsidRPr="00E51431" w:rsidRDefault="00E51431" w:rsidP="00E51431">
      <w:pPr>
        <w:pStyle w:val="APAReference"/>
        <w:spacing w:line="240" w:lineRule="auto"/>
        <w:rPr>
          <w:rFonts w:asciiTheme="minorHAnsi" w:hAnsiTheme="minorHAnsi"/>
          <w:sz w:val="18"/>
          <w:szCs w:val="18"/>
        </w:rPr>
      </w:pP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96FD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sidR="0005659F" w:rsidRPr="0005659F">
        <w:rPr>
          <w:noProof/>
        </w:rPr>
        <w:drawing>
          <wp:inline distT="0" distB="0" distL="0" distR="0">
            <wp:extent cx="727591" cy="624840"/>
            <wp:effectExtent l="0" t="0" r="0" b="3810"/>
            <wp:docPr id="2" name="Picture 2" descr="C:\Users\dcyncyna\Desktop\Documents\Bio\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yncyna\Desktop\Documents\Bio\Pic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8211" cy="642548"/>
                    </a:xfrm>
                    <a:prstGeom prst="rect">
                      <a:avLst/>
                    </a:prstGeom>
                    <a:noFill/>
                    <a:ln>
                      <a:noFill/>
                    </a:ln>
                  </pic:spPr>
                </pic:pic>
              </a:graphicData>
            </a:graphic>
          </wp:inline>
        </w:drawing>
      </w:r>
      <w:bookmarkStart w:id="5" w:name="_GoBack"/>
      <w:bookmarkEnd w:id="5"/>
    </w:p>
    <w:p w:rsidR="0005659F" w:rsidRPr="000167C4" w:rsidRDefault="0005659F" w:rsidP="0005659F">
      <w:pPr>
        <w:rPr>
          <w:rFonts w:ascii="Times New Roman" w:eastAsia="Times New Roman" w:hAnsi="Times New Roman" w:cs="Times New Roman"/>
          <w:sz w:val="14"/>
          <w:szCs w:val="14"/>
        </w:rPr>
      </w:pPr>
      <w:r w:rsidRPr="000167C4">
        <w:rPr>
          <w:rFonts w:ascii="Arial" w:eastAsia="Times New Roman" w:hAnsi="Arial" w:cs="Arial"/>
          <w:color w:val="000000"/>
          <w:sz w:val="14"/>
          <w:szCs w:val="14"/>
        </w:rPr>
        <w:t xml:space="preserve">Debbie Cyncynatus is a registered nurse with 29 years of experience in areas of critical care, medical and surgical care, nursing management and hospital administration.  Debbie is skilled in large-scale change, Big 4 consulting, strategic and tactical planning, clinical operations improvement, transformational and thought leadership, process improvement, patient first, hospital leadership and program management with a track record of breakthrough performance.  She is also knowledgeable in transformational change leadership, lean management, healthcare transformation, case management, pharmacy, supply chain, revenue cycle and clinical informatics. Debbie’s strengths include effective communication, group and team facilitation, executive leadership, process improvement, relationship-building, physician relationships, data/analytics and clinical skills.  Debbie earned her MBA and also a Bachelor of Science degree in Nursing. She is currently working toward a Doctor in Nursing Practice from Capella University. </w:t>
      </w:r>
    </w:p>
    <w:p w:rsidR="008E4560" w:rsidRDefault="008E4560" w:rsidP="008E4560">
      <w:pPr>
        <w:spacing w:before="62"/>
        <w:ind w:left="4217" w:right="4235"/>
        <w:jc w:val="center"/>
        <w:rPr>
          <w:rFonts w:ascii="Arial"/>
          <w:sz w:val="14"/>
        </w:rPr>
      </w:pPr>
      <w:r>
        <w:rPr>
          <w:rFonts w:ascii="Arial"/>
          <w:sz w:val="14"/>
        </w:rPr>
        <w:t xml:space="preserve">Email: </w:t>
      </w:r>
      <w:r w:rsidR="00833646">
        <w:rPr>
          <w:rStyle w:val="Hyperlink"/>
          <w:rFonts w:ascii="Arial"/>
          <w:sz w:val="14"/>
        </w:rPr>
        <w:t>mccarde12@gmail.com</w:t>
      </w:r>
    </w:p>
    <w:p w:rsidR="008E4560" w:rsidRDefault="008E4560" w:rsidP="008E4560">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57B4C"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lastRenderedPageBreak/>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E47" w:rsidRDefault="007B6E47">
      <w:r>
        <w:separator/>
      </w:r>
    </w:p>
  </w:endnote>
  <w:endnote w:type="continuationSeparator" w:id="0">
    <w:p w:rsidR="007B6E47" w:rsidRDefault="007B6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E456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B6E47"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B6E47" w:rsidP="00CB7905">
                    <w:pPr>
                      <w:spacing w:before="8"/>
                      <w:ind w:right="-12"/>
                      <w:rPr>
                        <w:rFonts w:ascii="Arial"/>
                        <w:color w:val="FFFFFF" w:themeColor="background1"/>
                        <w:sz w:val="16"/>
                      </w:rPr>
                    </w:pP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E47" w:rsidRDefault="007B6E47">
      <w:r>
        <w:separator/>
      </w:r>
    </w:p>
  </w:footnote>
  <w:footnote w:type="continuationSeparator" w:id="0">
    <w:p w:rsidR="007B6E47" w:rsidRDefault="007B6E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E456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0528E"/>
    <w:multiLevelType w:val="hybridMultilevel"/>
    <w:tmpl w:val="84B69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60"/>
    <w:rsid w:val="0005659F"/>
    <w:rsid w:val="002E1DEB"/>
    <w:rsid w:val="003F216C"/>
    <w:rsid w:val="00657443"/>
    <w:rsid w:val="00695D61"/>
    <w:rsid w:val="007B6E47"/>
    <w:rsid w:val="00833646"/>
    <w:rsid w:val="008E4560"/>
    <w:rsid w:val="00CB7905"/>
    <w:rsid w:val="00E514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3C75A5-80FD-446C-97A7-64CCD7ED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 w:type="paragraph" w:customStyle="1" w:styleId="APA">
    <w:name w:val="APA"/>
    <w:basedOn w:val="BodyText"/>
    <w:rsid w:val="003F216C"/>
    <w:pPr>
      <w:widowControl/>
      <w:overflowPunct w:val="0"/>
      <w:autoSpaceDE w:val="0"/>
      <w:autoSpaceDN w:val="0"/>
      <w:adjustRightInd w:val="0"/>
      <w:spacing w:line="480" w:lineRule="auto"/>
      <w:ind w:firstLine="720"/>
      <w:textAlignment w:val="baseline"/>
    </w:pPr>
    <w:rPr>
      <w:rFonts w:ascii="Times New Roman" w:eastAsia="Times New Roman" w:hAnsi="Times New Roman" w:cs="Times New Roman"/>
      <w:sz w:val="24"/>
      <w:szCs w:val="20"/>
    </w:rPr>
  </w:style>
  <w:style w:type="paragraph" w:customStyle="1" w:styleId="APAReference">
    <w:name w:val="APA Reference"/>
    <w:basedOn w:val="Normal"/>
    <w:rsid w:val="00E51431"/>
    <w:pPr>
      <w:widowControl/>
      <w:overflowPunct w:val="0"/>
      <w:autoSpaceDE w:val="0"/>
      <w:autoSpaceDN w:val="0"/>
      <w:adjustRightInd w:val="0"/>
      <w:spacing w:line="480" w:lineRule="auto"/>
      <w:ind w:left="720" w:hanging="720"/>
      <w:textAlignment w:val="baseline"/>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5344/2394-4978/2017/2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hi.org/communities/blogs/4-ways-to-connect-technology-and-quality?utm_campaign=tw&amp;utm_source=hs_email&amp;utm_medium=email&amp;utm_content=75069189&amp;_hsenc=p2ANqtz-8wdxJ8tkwqd0r4CH-SLQkBWpLamG90VYFDMRKDfTpGLo2js-9p0yeYHuasiXMnyVIpdX1TaI-ZbRY8BgbmaGzMJZ8JUPcr20fBEyOKXja8Wqr6hUo&amp;_hsmi=750691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111/jonm.1273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Cyncynatus,Debbie</cp:lastModifiedBy>
  <cp:revision>2</cp:revision>
  <dcterms:created xsi:type="dcterms:W3CDTF">2020-01-31T22:56:00Z</dcterms:created>
  <dcterms:modified xsi:type="dcterms:W3CDTF">2020-01-31T22:56:00Z</dcterms:modified>
</cp:coreProperties>
</file>