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58E" w:rsidRDefault="0010358E" w:rsidP="0010358E">
      <w:pPr>
        <w:pStyle w:val="Default"/>
      </w:pPr>
    </w:p>
    <w:p w:rsidR="0010358E" w:rsidRDefault="0010358E" w:rsidP="0010358E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Abstract </w:t>
      </w:r>
    </w:p>
    <w:p w:rsidR="0010358E" w:rsidRPr="0010358E" w:rsidRDefault="0010358E" w:rsidP="0010358E">
      <w:pPr>
        <w:pStyle w:val="Default"/>
        <w:spacing w:line="360" w:lineRule="auto"/>
        <w:jc w:val="both"/>
        <w:rPr>
          <w:rFonts w:asciiTheme="minorBidi" w:hAnsiTheme="minorBidi" w:cstheme="minorBidi"/>
          <w:sz w:val="32"/>
          <w:szCs w:val="32"/>
        </w:rPr>
      </w:pPr>
      <w:r w:rsidRPr="0010358E">
        <w:rPr>
          <w:rFonts w:asciiTheme="minorBidi" w:hAnsiTheme="minorBidi" w:cstheme="minorBidi"/>
          <w:sz w:val="32"/>
          <w:szCs w:val="32"/>
        </w:rPr>
        <w:t xml:space="preserve">This study comprised; histological and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histochemical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observations,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ultrastructural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examination and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biostatistical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analysis to detect the effect of different feeding habit on the structure of tongue of the rabbit “</w:t>
      </w:r>
      <w:proofErr w:type="spellStart"/>
      <w:r w:rsidRPr="0010358E">
        <w:rPr>
          <w:rFonts w:asciiTheme="minorBidi" w:hAnsiTheme="minorBidi" w:cstheme="minorBidi"/>
          <w:i/>
          <w:iCs/>
          <w:sz w:val="32"/>
          <w:szCs w:val="32"/>
        </w:rPr>
        <w:t>O.cunniculus</w:t>
      </w:r>
      <w:proofErr w:type="spellEnd"/>
      <w:r w:rsidRPr="0010358E">
        <w:rPr>
          <w:rFonts w:asciiTheme="minorBidi" w:hAnsiTheme="minorBidi" w:cstheme="minorBidi"/>
          <w:i/>
          <w:iCs/>
          <w:sz w:val="32"/>
          <w:szCs w:val="32"/>
        </w:rPr>
        <w:t xml:space="preserve">” </w:t>
      </w:r>
      <w:r w:rsidRPr="0010358E">
        <w:rPr>
          <w:rFonts w:asciiTheme="minorBidi" w:hAnsiTheme="minorBidi" w:cstheme="minorBidi"/>
          <w:sz w:val="32"/>
          <w:szCs w:val="32"/>
        </w:rPr>
        <w:t>and the rat “</w:t>
      </w:r>
      <w:proofErr w:type="spellStart"/>
      <w:r w:rsidRPr="0010358E">
        <w:rPr>
          <w:rFonts w:asciiTheme="minorBidi" w:hAnsiTheme="minorBidi" w:cstheme="minorBidi"/>
          <w:i/>
          <w:iCs/>
          <w:sz w:val="32"/>
          <w:szCs w:val="32"/>
        </w:rPr>
        <w:t>R.norvegicus</w:t>
      </w:r>
      <w:proofErr w:type="spellEnd"/>
      <w:r w:rsidRPr="0010358E">
        <w:rPr>
          <w:rFonts w:asciiTheme="minorBidi" w:hAnsiTheme="minorBidi" w:cstheme="minorBidi"/>
          <w:i/>
          <w:iCs/>
          <w:sz w:val="32"/>
          <w:szCs w:val="32"/>
        </w:rPr>
        <w:t xml:space="preserve">” </w:t>
      </w:r>
      <w:r w:rsidRPr="0010358E">
        <w:rPr>
          <w:rFonts w:asciiTheme="minorBidi" w:hAnsiTheme="minorBidi" w:cstheme="minorBidi"/>
          <w:sz w:val="32"/>
          <w:szCs w:val="32"/>
        </w:rPr>
        <w:t xml:space="preserve">at different stages of growth, of adult, young and lactating. </w:t>
      </w:r>
    </w:p>
    <w:p w:rsidR="0010358E" w:rsidRPr="0010358E" w:rsidRDefault="0010358E" w:rsidP="0010358E">
      <w:pPr>
        <w:pStyle w:val="Default"/>
        <w:spacing w:line="360" w:lineRule="auto"/>
        <w:jc w:val="both"/>
        <w:rPr>
          <w:rFonts w:asciiTheme="minorBidi" w:hAnsiTheme="minorBidi" w:cstheme="minorBidi"/>
          <w:sz w:val="32"/>
          <w:szCs w:val="32"/>
        </w:rPr>
      </w:pPr>
      <w:r w:rsidRPr="0010358E">
        <w:rPr>
          <w:rFonts w:asciiTheme="minorBidi" w:hAnsiTheme="minorBidi" w:cstheme="minorBidi"/>
          <w:sz w:val="32"/>
          <w:szCs w:val="32"/>
        </w:rPr>
        <w:t xml:space="preserve">The </w:t>
      </w:r>
      <w:proofErr w:type="gramStart"/>
      <w:r w:rsidRPr="0010358E">
        <w:rPr>
          <w:rFonts w:asciiTheme="minorBidi" w:hAnsiTheme="minorBidi" w:cstheme="minorBidi"/>
          <w:sz w:val="32"/>
          <w:szCs w:val="32"/>
        </w:rPr>
        <w:t xml:space="preserve">adult </w:t>
      </w:r>
      <w:r>
        <w:rPr>
          <w:rFonts w:asciiTheme="minorBidi" w:hAnsiTheme="minorBidi" w:cstheme="minorBidi"/>
          <w:sz w:val="32"/>
          <w:szCs w:val="32"/>
        </w:rPr>
        <w:t xml:space="preserve"> tongue</w:t>
      </w:r>
      <w:proofErr w:type="gramEnd"/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of both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i/>
          <w:iCs/>
          <w:sz w:val="32"/>
          <w:szCs w:val="32"/>
        </w:rPr>
        <w:t xml:space="preserve">O. </w:t>
      </w:r>
      <w:proofErr w:type="spellStart"/>
      <w:r w:rsidRPr="0010358E">
        <w:rPr>
          <w:rFonts w:asciiTheme="minorBidi" w:hAnsiTheme="minorBidi" w:cstheme="minorBidi"/>
          <w:i/>
          <w:iCs/>
          <w:sz w:val="32"/>
          <w:szCs w:val="32"/>
        </w:rPr>
        <w:t>cunniculus</w:t>
      </w:r>
      <w:proofErr w:type="spellEnd"/>
      <w:r>
        <w:rPr>
          <w:rFonts w:asciiTheme="minorBidi" w:hAnsiTheme="minorBidi" w:cstheme="minorBidi"/>
          <w:i/>
          <w:iCs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 xml:space="preserve">and </w:t>
      </w:r>
      <w:r w:rsidRPr="0010358E">
        <w:rPr>
          <w:rFonts w:asciiTheme="minorBidi" w:hAnsiTheme="minorBidi" w:cstheme="minorBidi"/>
          <w:i/>
          <w:iCs/>
          <w:sz w:val="32"/>
          <w:szCs w:val="32"/>
        </w:rPr>
        <w:t xml:space="preserve">R. </w:t>
      </w:r>
      <w:proofErr w:type="spellStart"/>
      <w:r w:rsidRPr="0010358E">
        <w:rPr>
          <w:rFonts w:asciiTheme="minorBidi" w:hAnsiTheme="minorBidi" w:cstheme="minorBidi"/>
          <w:i/>
          <w:iCs/>
          <w:sz w:val="32"/>
          <w:szCs w:val="32"/>
        </w:rPr>
        <w:t>norvegicus</w:t>
      </w:r>
      <w:proofErr w:type="spellEnd"/>
      <w:r>
        <w:rPr>
          <w:rFonts w:asciiTheme="minorBidi" w:hAnsiTheme="minorBidi" w:cstheme="minorBidi"/>
          <w:i/>
          <w:iCs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 xml:space="preserve">shows different types of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filiform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papillae,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fungiform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papillae scattered among the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filiform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papillae, foliate papillae and two </w:t>
      </w:r>
      <w:proofErr w:type="spellStart"/>
      <w:r w:rsidRPr="0010358E">
        <w:rPr>
          <w:rFonts w:asciiTheme="minorBidi" w:hAnsiTheme="minorBidi" w:cstheme="minorBidi"/>
          <w:sz w:val="32"/>
          <w:szCs w:val="32"/>
        </w:rPr>
        <w:t>circumvallate</w:t>
      </w:r>
      <w:proofErr w:type="spellEnd"/>
      <w:r w:rsidRPr="0010358E">
        <w:rPr>
          <w:rFonts w:asciiTheme="minorBidi" w:hAnsiTheme="minorBidi" w:cstheme="minorBidi"/>
          <w:sz w:val="32"/>
          <w:szCs w:val="32"/>
        </w:rPr>
        <w:t xml:space="preserve"> papillae on the dorsal side, number of serous glands and mucous glands. In young and lactating some undifferentiated and poor developed papillae were observed also. The serous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and mucous glands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are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less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numerous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than that in adult stages. The mucous glands of the tongue gave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different reactions</w:t>
      </w:r>
      <w:r>
        <w:rPr>
          <w:rFonts w:asciiTheme="minorBidi" w:hAnsiTheme="minorBidi" w:cstheme="minorBidi"/>
          <w:sz w:val="32"/>
          <w:szCs w:val="32"/>
        </w:rPr>
        <w:t xml:space="preserve"> </w:t>
      </w:r>
      <w:r w:rsidRPr="0010358E">
        <w:rPr>
          <w:rFonts w:asciiTheme="minorBidi" w:hAnsiTheme="minorBidi" w:cstheme="minorBidi"/>
          <w:sz w:val="32"/>
          <w:szCs w:val="32"/>
        </w:rPr>
        <w:t>between adult, young and lactating animals.</w:t>
      </w:r>
    </w:p>
    <w:sectPr w:rsidR="0010358E" w:rsidRPr="0010358E" w:rsidSect="00304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6228FD"/>
    <w:rsid w:val="0010358E"/>
    <w:rsid w:val="00304E0D"/>
    <w:rsid w:val="006228FD"/>
    <w:rsid w:val="00BA5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35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2018-03-17T12:14:00Z</dcterms:created>
  <dcterms:modified xsi:type="dcterms:W3CDTF">2018-03-29T19:05:00Z</dcterms:modified>
</cp:coreProperties>
</file>