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9ADDF" w14:textId="0C27AFEB" w:rsidR="004F4B46" w:rsidRPr="004F4B46" w:rsidRDefault="004F4B46" w:rsidP="004F4B46">
      <w:pPr>
        <w:pStyle w:val="Title"/>
      </w:pPr>
      <w:r>
        <w:t xml:space="preserve">Evidence of declining dietary diversity among children aged 1-5 </w:t>
      </w:r>
      <w:r w:rsidR="006A6765">
        <w:t>years between 2005</w:t>
      </w:r>
      <w:r>
        <w:t xml:space="preserve"> and 2017 in low</w:t>
      </w:r>
      <w:r w:rsidR="00D344B8">
        <w:t>er</w:t>
      </w:r>
      <w:r>
        <w:t>-income countries</w:t>
      </w:r>
      <w:r w:rsidR="006A6765">
        <w:t>.</w:t>
      </w:r>
    </w:p>
    <w:p w14:paraId="018E206D" w14:textId="4ABE88DA" w:rsidR="001B610C" w:rsidRPr="001B610C" w:rsidRDefault="001B610C" w:rsidP="001B610C">
      <w:r w:rsidRPr="001B610C">
        <w:t>Author list:</w:t>
      </w:r>
    </w:p>
    <w:p w14:paraId="447EACF8" w14:textId="77777777" w:rsidR="001B610C" w:rsidRPr="001B610C" w:rsidRDefault="001B610C" w:rsidP="001B610C"/>
    <w:p w14:paraId="274E05A7" w14:textId="7D3B2778" w:rsidR="001B610C" w:rsidRPr="005168FC" w:rsidRDefault="001B610C" w:rsidP="001B610C">
      <w:pPr>
        <w:rPr>
          <w:bdr w:val="none" w:sz="0" w:space="0" w:color="auto" w:frame="1"/>
          <w:vertAlign w:val="superscript"/>
        </w:rPr>
      </w:pPr>
      <w:r w:rsidRPr="001B610C">
        <w:t>Salmon KS</w:t>
      </w:r>
      <w:r w:rsidR="005168FC">
        <w:rPr>
          <w:vertAlign w:val="superscript"/>
        </w:rPr>
        <w:t>1</w:t>
      </w:r>
    </w:p>
    <w:p w14:paraId="2D4F1818" w14:textId="61663122" w:rsidR="001B610C" w:rsidRPr="005168FC" w:rsidRDefault="001B610C" w:rsidP="001B610C">
      <w:pPr>
        <w:rPr>
          <w:bdr w:val="none" w:sz="0" w:space="0" w:color="auto" w:frame="1"/>
          <w:vertAlign w:val="superscript"/>
        </w:rPr>
      </w:pPr>
      <w:r w:rsidRPr="001B610C">
        <w:rPr>
          <w:bdr w:val="none" w:sz="0" w:space="0" w:color="auto" w:frame="1"/>
        </w:rPr>
        <w:t>Shin D</w:t>
      </w:r>
      <w:r w:rsidR="005168FC">
        <w:rPr>
          <w:bdr w:val="none" w:sz="0" w:space="0" w:color="auto" w:frame="1"/>
          <w:vertAlign w:val="superscript"/>
        </w:rPr>
        <w:t>2</w:t>
      </w:r>
    </w:p>
    <w:p w14:paraId="2EEAA750" w14:textId="2877E003" w:rsidR="001B610C" w:rsidRPr="005168FC" w:rsidRDefault="001B610C" w:rsidP="001B610C">
      <w:pPr>
        <w:rPr>
          <w:bdr w:val="none" w:sz="0" w:space="0" w:color="auto" w:frame="1"/>
          <w:vertAlign w:val="superscript"/>
        </w:rPr>
      </w:pPr>
      <w:r w:rsidRPr="001B610C">
        <w:rPr>
          <w:bdr w:val="none" w:sz="0" w:space="0" w:color="auto" w:frame="1"/>
        </w:rPr>
        <w:t>Kmush BL</w:t>
      </w:r>
      <w:r w:rsidR="005168FC">
        <w:rPr>
          <w:bdr w:val="none" w:sz="0" w:space="0" w:color="auto" w:frame="1"/>
          <w:vertAlign w:val="superscript"/>
        </w:rPr>
        <w:t>1</w:t>
      </w:r>
    </w:p>
    <w:p w14:paraId="3A49E335" w14:textId="19D993D5" w:rsidR="001B610C" w:rsidRPr="005168FC" w:rsidRDefault="001B610C" w:rsidP="001B610C">
      <w:pPr>
        <w:rPr>
          <w:bdr w:val="none" w:sz="0" w:space="0" w:color="auto" w:frame="1"/>
          <w:vertAlign w:val="superscript"/>
        </w:rPr>
      </w:pPr>
      <w:proofErr w:type="spellStart"/>
      <w:r w:rsidRPr="001B610C">
        <w:rPr>
          <w:bdr w:val="none" w:sz="0" w:space="0" w:color="auto" w:frame="1"/>
        </w:rPr>
        <w:t>Wallia</w:t>
      </w:r>
      <w:proofErr w:type="spellEnd"/>
      <w:r w:rsidRPr="001B610C">
        <w:rPr>
          <w:bdr w:val="none" w:sz="0" w:space="0" w:color="auto" w:frame="1"/>
        </w:rPr>
        <w:t xml:space="preserve"> B</w:t>
      </w:r>
      <w:r w:rsidR="005168FC">
        <w:rPr>
          <w:bdr w:val="none" w:sz="0" w:space="0" w:color="auto" w:frame="1"/>
          <w:vertAlign w:val="superscript"/>
        </w:rPr>
        <w:t>1</w:t>
      </w:r>
    </w:p>
    <w:p w14:paraId="7DCDFC61" w14:textId="4B090375" w:rsidR="001B610C" w:rsidRPr="005168FC" w:rsidRDefault="001B610C" w:rsidP="001B610C">
      <w:pPr>
        <w:rPr>
          <w:bdr w:val="none" w:sz="0" w:space="0" w:color="auto" w:frame="1"/>
          <w:vertAlign w:val="superscript"/>
        </w:rPr>
      </w:pPr>
      <w:r w:rsidRPr="001B610C">
        <w:rPr>
          <w:bdr w:val="none" w:sz="0" w:space="0" w:color="auto" w:frame="1"/>
        </w:rPr>
        <w:t>Bellows AC</w:t>
      </w:r>
      <w:r w:rsidR="005168FC">
        <w:rPr>
          <w:bdr w:val="none" w:sz="0" w:space="0" w:color="auto" w:frame="1"/>
          <w:vertAlign w:val="superscript"/>
        </w:rPr>
        <w:t>3</w:t>
      </w:r>
    </w:p>
    <w:p w14:paraId="0C9E77BB" w14:textId="33D6785F" w:rsidR="001B610C" w:rsidRPr="005168FC" w:rsidRDefault="001B610C" w:rsidP="001B610C">
      <w:pPr>
        <w:rPr>
          <w:bdr w:val="none" w:sz="0" w:space="0" w:color="auto" w:frame="1"/>
          <w:vertAlign w:val="superscript"/>
        </w:rPr>
      </w:pPr>
      <w:r w:rsidRPr="001B610C">
        <w:rPr>
          <w:bdr w:val="none" w:sz="0" w:space="0" w:color="auto" w:frame="1"/>
        </w:rPr>
        <w:t>Larsen DA</w:t>
      </w:r>
      <w:r w:rsidR="005168FC">
        <w:rPr>
          <w:bdr w:val="none" w:sz="0" w:space="0" w:color="auto" w:frame="1"/>
          <w:vertAlign w:val="superscript"/>
        </w:rPr>
        <w:t>1</w:t>
      </w:r>
    </w:p>
    <w:p w14:paraId="6044076E" w14:textId="77777777" w:rsidR="001B610C" w:rsidRPr="001B610C" w:rsidRDefault="001B610C" w:rsidP="001B610C">
      <w:pPr>
        <w:rPr>
          <w:bdr w:val="none" w:sz="0" w:space="0" w:color="auto" w:frame="1"/>
        </w:rPr>
      </w:pPr>
    </w:p>
    <w:p w14:paraId="724C4F6A" w14:textId="77777777" w:rsidR="001B610C" w:rsidRPr="001B610C" w:rsidRDefault="001B610C" w:rsidP="001B610C">
      <w:r w:rsidRPr="001B610C">
        <w:t>Author information</w:t>
      </w:r>
    </w:p>
    <w:p w14:paraId="0A94E193" w14:textId="18BCD4D8" w:rsidR="001B610C" w:rsidRPr="005168FC" w:rsidRDefault="005168FC" w:rsidP="001B610C">
      <w:pPr>
        <w:pStyle w:val="ListParagraph"/>
        <w:numPr>
          <w:ilvl w:val="0"/>
          <w:numId w:val="5"/>
        </w:numPr>
      </w:pPr>
      <w:r>
        <w:rPr>
          <w:rFonts w:eastAsia="Times New Roman" w:cs="Times New Roman"/>
          <w:color w:val="000000"/>
          <w:shd w:val="clear" w:color="auto" w:fill="FFFFFF"/>
        </w:rPr>
        <w:t>Syracuse University Department of Public Health</w:t>
      </w:r>
      <w:r w:rsidR="001B610C" w:rsidRPr="001B610C">
        <w:rPr>
          <w:rFonts w:eastAsia="Times New Roman" w:cs="Times New Roman"/>
          <w:color w:val="000000"/>
          <w:shd w:val="clear" w:color="auto" w:fill="FFFFFF"/>
        </w:rPr>
        <w:t>, Syracuse, New York.</w:t>
      </w:r>
    </w:p>
    <w:p w14:paraId="1F3E272E" w14:textId="17E22C72" w:rsidR="005168FC" w:rsidRPr="005168FC" w:rsidRDefault="00AB6342" w:rsidP="001B610C">
      <w:pPr>
        <w:pStyle w:val="ListParagraph"/>
        <w:numPr>
          <w:ilvl w:val="0"/>
          <w:numId w:val="5"/>
        </w:numPr>
      </w:pPr>
      <w:proofErr w:type="spellStart"/>
      <w:r>
        <w:t>Inha</w:t>
      </w:r>
      <w:proofErr w:type="spellEnd"/>
      <w:r>
        <w:t xml:space="preserve"> University Department of Food and Nutrition, Incheon, Korea</w:t>
      </w:r>
    </w:p>
    <w:p w14:paraId="2CE00988" w14:textId="60A44375" w:rsidR="005168FC" w:rsidRPr="001B610C" w:rsidRDefault="005168FC" w:rsidP="001B610C">
      <w:pPr>
        <w:pStyle w:val="ListParagraph"/>
        <w:numPr>
          <w:ilvl w:val="0"/>
          <w:numId w:val="5"/>
        </w:numPr>
      </w:pPr>
      <w:r>
        <w:t>Syracuse University Department of Food Studies, Syracuse, New York</w:t>
      </w:r>
    </w:p>
    <w:p w14:paraId="3DE0389A" w14:textId="77777777" w:rsidR="00DF5603" w:rsidRPr="00936968" w:rsidRDefault="00936968" w:rsidP="004F4B46">
      <w:pPr>
        <w:pStyle w:val="Heading1"/>
      </w:pPr>
      <w:r w:rsidRPr="00936968">
        <w:t>Abstract</w:t>
      </w:r>
    </w:p>
    <w:p w14:paraId="5DE837B2" w14:textId="6F0B48A1" w:rsidR="006A6765" w:rsidRDefault="004F4B46" w:rsidP="00292EDB">
      <w:r>
        <w:rPr>
          <w:b/>
        </w:rPr>
        <w:t xml:space="preserve">Objectives: </w:t>
      </w:r>
      <w:r w:rsidR="005168FC">
        <w:t>We sought to estimate trends in dietary diversity in children aged 1-5 years living in lower-income countries. We hypothesize</w:t>
      </w:r>
      <w:r w:rsidR="00594E50">
        <w:t>d</w:t>
      </w:r>
      <w:r w:rsidR="005168FC">
        <w:t xml:space="preserve"> that dietary diversity is </w:t>
      </w:r>
      <w:r w:rsidR="00594E50">
        <w:t>increasing</w:t>
      </w:r>
      <w:r w:rsidR="005168FC">
        <w:t xml:space="preserve"> over time in this population, independent of changes in wealth.</w:t>
      </w:r>
    </w:p>
    <w:p w14:paraId="30AD9A02" w14:textId="7C676F37" w:rsidR="004F4B46" w:rsidRPr="006A6765" w:rsidRDefault="004F4B46" w:rsidP="00292EDB">
      <w:r>
        <w:rPr>
          <w:b/>
        </w:rPr>
        <w:t>Methods:</w:t>
      </w:r>
      <w:r w:rsidRPr="004F4B46">
        <w:t xml:space="preserve"> </w:t>
      </w:r>
      <w:r>
        <w:t>We utilized</w:t>
      </w:r>
      <w:r w:rsidR="005168FC">
        <w:t xml:space="preserve"> </w:t>
      </w:r>
      <w:r w:rsidR="00F229BE">
        <w:t>89</w:t>
      </w:r>
      <w:r w:rsidR="005168FC">
        <w:t xml:space="preserve"> Demographic and Health Surveys conducted in </w:t>
      </w:r>
      <w:r w:rsidR="00F229BE">
        <w:t>59</w:t>
      </w:r>
      <w:r w:rsidR="005168FC">
        <w:t xml:space="preserve"> countries</w:t>
      </w:r>
      <w:r>
        <w:t xml:space="preserve"> </w:t>
      </w:r>
      <w:r w:rsidR="005168FC">
        <w:t xml:space="preserve">to cross-sectionally measure two separate outcomes, 1) the number of different types of food the child ate in the previous 24 hours </w:t>
      </w:r>
      <w:r w:rsidR="00795B5C">
        <w:t xml:space="preserve">(dietary diversity) </w:t>
      </w:r>
      <w:r w:rsidR="005168FC">
        <w:t xml:space="preserve">and 2) the proportion of children who only ate one type of food in the previous 24 hours. We then estimated change over time across </w:t>
      </w:r>
      <w:r>
        <w:t>the years 2005-2017</w:t>
      </w:r>
      <w:r w:rsidR="005168FC">
        <w:t xml:space="preserve"> in both a child-level analysis </w:t>
      </w:r>
      <w:r w:rsidR="00DD51B4">
        <w:t xml:space="preserve">using negative binomial regression and logistic regression models, </w:t>
      </w:r>
      <w:proofErr w:type="spellStart"/>
      <w:r w:rsidR="00DD51B4">
        <w:t>respectively.</w:t>
      </w:r>
      <w:proofErr w:type="spellEnd"/>
      <w:r w:rsidR="00DD51B4">
        <w:t xml:space="preserve"> We also conducted a</w:t>
      </w:r>
      <w:r w:rsidR="005168FC">
        <w:t xml:space="preserve"> country-level analysis</w:t>
      </w:r>
      <w:r w:rsidR="00DD51B4">
        <w:t xml:space="preserve"> using a meta-analysis approach</w:t>
      </w:r>
      <w:r>
        <w:t>.</w:t>
      </w:r>
      <w:r w:rsidR="00D8692B">
        <w:t xml:space="preserve"> </w:t>
      </w:r>
      <w:r w:rsidR="005168FC">
        <w:t xml:space="preserve">In </w:t>
      </w:r>
      <w:r w:rsidR="005168FC">
        <w:t>the child-level analysis</w:t>
      </w:r>
      <w:r w:rsidR="00D3262F">
        <w:t>,</w:t>
      </w:r>
      <w:r w:rsidR="005168FC">
        <w:t xml:space="preserve"> w</w:t>
      </w:r>
      <w:r w:rsidR="00D8692B">
        <w:t xml:space="preserve">e tested for two separate interactions, one of </w:t>
      </w:r>
      <w:r w:rsidR="00DD51B4">
        <w:t>year</w:t>
      </w:r>
      <w:r w:rsidR="00DD51B4">
        <w:t xml:space="preserve"> </w:t>
      </w:r>
      <w:r w:rsidR="00D8692B">
        <w:t xml:space="preserve">and </w:t>
      </w:r>
      <w:r w:rsidR="00D8692B" w:rsidRPr="00DD51B4">
        <w:t xml:space="preserve">wealth to determine if dietary diversity is changing differently depending on wealth, and one of year and </w:t>
      </w:r>
      <w:r w:rsidR="005168FC" w:rsidRPr="00DD51B4">
        <w:t>place of residence (urban/rural)</w:t>
      </w:r>
      <w:r w:rsidR="00D8692B" w:rsidRPr="00DD51B4">
        <w:t xml:space="preserve"> to determine if dietary diversity is changing differently</w:t>
      </w:r>
      <w:r w:rsidR="00D8692B">
        <w:t xml:space="preserve"> depending on </w:t>
      </w:r>
      <w:r w:rsidR="005168FC">
        <w:t>the place of residence</w:t>
      </w:r>
      <w:r w:rsidR="00D8692B">
        <w:t>.</w:t>
      </w:r>
    </w:p>
    <w:p w14:paraId="7905DCA7" w14:textId="610C993B" w:rsidR="00594E50" w:rsidRDefault="004F4B46" w:rsidP="007B2E6F">
      <w:r>
        <w:rPr>
          <w:b/>
        </w:rPr>
        <w:t>Results:</w:t>
      </w:r>
      <w:r w:rsidR="006A6765">
        <w:rPr>
          <w:b/>
        </w:rPr>
        <w:t xml:space="preserve"> </w:t>
      </w:r>
      <w:r w:rsidR="00F229BE">
        <w:t>Across</w:t>
      </w:r>
      <w:bookmarkStart w:id="0" w:name="_GoBack"/>
      <w:bookmarkEnd w:id="0"/>
      <w:r w:rsidR="005168FC">
        <w:t xml:space="preserve"> </w:t>
      </w:r>
      <w:r w:rsidR="00DD51B4">
        <w:t>59</w:t>
      </w:r>
      <w:r w:rsidR="00DD51B4">
        <w:t xml:space="preserve"> </w:t>
      </w:r>
      <w:r w:rsidR="005168FC">
        <w:t>lower-income countries</w:t>
      </w:r>
      <w:r w:rsidR="00D3262F">
        <w:t>,</w:t>
      </w:r>
      <w:r w:rsidR="005168FC">
        <w:t xml:space="preserve"> these data suggest an</w:t>
      </w:r>
      <w:r w:rsidR="00FF7D88">
        <w:t xml:space="preserve"> overall trend of </w:t>
      </w:r>
      <w:r w:rsidR="005168FC">
        <w:t xml:space="preserve">decreasing </w:t>
      </w:r>
      <w:r w:rsidR="00FF7D88">
        <w:t>dietary diversity over time</w:t>
      </w:r>
      <w:r w:rsidR="005168FC">
        <w:t>, and an increase in the proportion of children who only consumed one food type in the previous 24 hours. We observed a</w:t>
      </w:r>
      <w:r w:rsidR="00594E50">
        <w:t>n annual</w:t>
      </w:r>
      <w:r w:rsidR="005168FC">
        <w:t xml:space="preserve"> decline in dietary diversity of 4% (95% confidenc</w:t>
      </w:r>
      <w:r w:rsidR="00594E50">
        <w:t>e</w:t>
      </w:r>
      <w:r w:rsidR="005168FC">
        <w:t xml:space="preserve"> interval = </w:t>
      </w:r>
      <w:r w:rsidR="00594E50">
        <w:t>3.7-5.2%) among children 1-5 years of age</w:t>
      </w:r>
      <w:r w:rsidR="00DD51B4">
        <w:t xml:space="preserve"> from 2005-2017</w:t>
      </w:r>
      <w:r w:rsidR="00594E50">
        <w:t xml:space="preserve">. No significant differences relative to wealth or place of residence were observed in the decline. We also observed an annual increase in the odds of a child only eating one </w:t>
      </w:r>
      <w:r w:rsidR="00795B5C">
        <w:t xml:space="preserve">type of </w:t>
      </w:r>
      <w:r w:rsidR="00594E50">
        <w:t>food in the previous 24 hours of 5.8% (95% confidence interval = -0.5 – 12.5%)</w:t>
      </w:r>
      <w:r w:rsidR="00DD51B4">
        <w:t xml:space="preserve"> from 2005-2017</w:t>
      </w:r>
      <w:r w:rsidR="00594E50">
        <w:t>.</w:t>
      </w:r>
    </w:p>
    <w:p w14:paraId="7FEBA16A" w14:textId="00A36804" w:rsidR="007B2E6F" w:rsidRPr="007B2E6F" w:rsidRDefault="004F4B46" w:rsidP="007B2E6F">
      <w:r>
        <w:rPr>
          <w:b/>
        </w:rPr>
        <w:lastRenderedPageBreak/>
        <w:t>Conclusions:</w:t>
      </w:r>
      <w:r w:rsidR="00292EDB">
        <w:rPr>
          <w:b/>
        </w:rPr>
        <w:t xml:space="preserve"> </w:t>
      </w:r>
      <w:r w:rsidR="00594E50">
        <w:t xml:space="preserve">These results suggest an unexpected decline in dietary diversity in lower income countries. The decline in dietary diversity could have significant implications for </w:t>
      </w:r>
      <w:r w:rsidR="00AB6342">
        <w:t xml:space="preserve">inadequate </w:t>
      </w:r>
      <w:r w:rsidR="00594E50">
        <w:t xml:space="preserve">micronutrient intake of children. </w:t>
      </w:r>
      <w:r w:rsidR="007B2E6F">
        <w:t xml:space="preserve">Although </w:t>
      </w:r>
      <w:r w:rsidR="00594E50">
        <w:t>diets are thought to improve</w:t>
      </w:r>
      <w:r w:rsidR="00FF7D88">
        <w:t xml:space="preserve"> as the world’s wealth increases, </w:t>
      </w:r>
      <w:r w:rsidR="00594E50">
        <w:t xml:space="preserve">diet quality appears to be declining in lower income countries </w:t>
      </w:r>
      <w:r w:rsidR="00C01555">
        <w:t xml:space="preserve">in some cases, concurrent with </w:t>
      </w:r>
      <w:r w:rsidR="00594E50">
        <w:t>increases in wealth over this same time period.</w:t>
      </w:r>
    </w:p>
    <w:p w14:paraId="5A5D69B5" w14:textId="406B095F" w:rsidR="00936968" w:rsidRPr="00AA4D3F" w:rsidRDefault="004F4B46">
      <w:pPr>
        <w:rPr>
          <w:rFonts w:ascii="Times" w:eastAsia="Times New Roman" w:hAnsi="Times" w:cs="Times New Roman"/>
        </w:rPr>
      </w:pPr>
      <w:r>
        <w:rPr>
          <w:b/>
        </w:rPr>
        <w:t>Funding:</w:t>
      </w:r>
      <w:r w:rsidR="00AA4D3F">
        <w:rPr>
          <w:b/>
        </w:rPr>
        <w:t xml:space="preserve"> </w:t>
      </w:r>
      <w:r w:rsidR="00AA4D3F">
        <w:t xml:space="preserve">This research was funded through Syracuse University’s Office of </w:t>
      </w:r>
      <w:r w:rsidR="00AA4D3F" w:rsidRPr="00AD0B67">
        <w:t xml:space="preserve">Undergraduate Research and </w:t>
      </w:r>
      <w:r w:rsidR="00AA4D3F" w:rsidRPr="00AD0B67">
        <w:t>Creative Engagement (SOURCE)</w:t>
      </w:r>
      <w:r w:rsidR="00AA4D3F">
        <w:t xml:space="preserve">. </w:t>
      </w:r>
    </w:p>
    <w:sectPr w:rsidR="00936968" w:rsidRPr="00AA4D3F" w:rsidSect="00B674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175E2"/>
    <w:multiLevelType w:val="hybridMultilevel"/>
    <w:tmpl w:val="47588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543B2"/>
    <w:multiLevelType w:val="hybridMultilevel"/>
    <w:tmpl w:val="B128D2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16853"/>
    <w:multiLevelType w:val="hybridMultilevel"/>
    <w:tmpl w:val="FE7C97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457EF"/>
    <w:multiLevelType w:val="hybridMultilevel"/>
    <w:tmpl w:val="7FFA0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74A9D"/>
    <w:multiLevelType w:val="hybridMultilevel"/>
    <w:tmpl w:val="5B5A2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68"/>
    <w:rsid w:val="00154F76"/>
    <w:rsid w:val="001B610C"/>
    <w:rsid w:val="00292EDB"/>
    <w:rsid w:val="00344460"/>
    <w:rsid w:val="003A21FA"/>
    <w:rsid w:val="004E042A"/>
    <w:rsid w:val="004F4B46"/>
    <w:rsid w:val="005168FC"/>
    <w:rsid w:val="00594E50"/>
    <w:rsid w:val="005D5701"/>
    <w:rsid w:val="005E50A0"/>
    <w:rsid w:val="00697E28"/>
    <w:rsid w:val="006A6765"/>
    <w:rsid w:val="00795B5C"/>
    <w:rsid w:val="007B2E6F"/>
    <w:rsid w:val="008064A6"/>
    <w:rsid w:val="00936968"/>
    <w:rsid w:val="009A3A2C"/>
    <w:rsid w:val="00AA4D3F"/>
    <w:rsid w:val="00AB6342"/>
    <w:rsid w:val="00AC4232"/>
    <w:rsid w:val="00B6745F"/>
    <w:rsid w:val="00BA146A"/>
    <w:rsid w:val="00C01555"/>
    <w:rsid w:val="00C56F60"/>
    <w:rsid w:val="00C965BD"/>
    <w:rsid w:val="00D3262F"/>
    <w:rsid w:val="00D344B8"/>
    <w:rsid w:val="00D8692B"/>
    <w:rsid w:val="00DD51B4"/>
    <w:rsid w:val="00DF5603"/>
    <w:rsid w:val="00F229BE"/>
    <w:rsid w:val="00FF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13D80A"/>
  <w14:defaultImageDpi w14:val="300"/>
  <w15:docId w15:val="{6ACD7CAA-1422-E447-812D-61FDF553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B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696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F4B4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4B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F4B4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7B2E6F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1B610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10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10C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16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8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8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8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0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39CDDF-D284-0149-9E09-13A9F4258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Patterson Mill High School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Salmon</dc:creator>
  <cp:keywords/>
  <dc:description/>
  <cp:lastModifiedBy>David Larsen</cp:lastModifiedBy>
  <cp:revision>3</cp:revision>
  <dcterms:created xsi:type="dcterms:W3CDTF">2020-01-30T16:00:00Z</dcterms:created>
  <dcterms:modified xsi:type="dcterms:W3CDTF">2020-01-30T16:00:00Z</dcterms:modified>
</cp:coreProperties>
</file>