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0DD" w:rsidRPr="00EC15BD" w:rsidRDefault="00B960DD" w:rsidP="00B960DD">
      <w:pPr>
        <w:spacing w:line="360" w:lineRule="auto"/>
        <w:jc w:val="center"/>
        <w:rPr>
          <w:rFonts w:asciiTheme="majorBidi" w:hAnsiTheme="majorBidi" w:cstheme="majorBidi"/>
          <w:b/>
          <w:bCs/>
          <w:shd w:val="clear" w:color="auto" w:fill="FFFFFF"/>
        </w:rPr>
      </w:pPr>
      <w:r>
        <w:rPr>
          <w:rFonts w:asciiTheme="majorBidi" w:hAnsiTheme="majorBidi" w:cstheme="majorBidi"/>
          <w:b/>
          <w:bCs/>
          <w:shd w:val="clear" w:color="auto" w:fill="FFFFFF"/>
        </w:rPr>
        <w:t xml:space="preserve"> Effect of </w:t>
      </w:r>
      <w:r w:rsidRPr="00EC15BD">
        <w:rPr>
          <w:rFonts w:asciiTheme="majorBidi" w:hAnsiTheme="majorBidi" w:cstheme="majorBidi"/>
          <w:b/>
          <w:bCs/>
          <w:shd w:val="clear" w:color="auto" w:fill="FFFFFF"/>
        </w:rPr>
        <w:t xml:space="preserve">Gum Arabic in </w:t>
      </w:r>
      <w:proofErr w:type="spellStart"/>
      <w:r w:rsidRPr="00EC15BD">
        <w:rPr>
          <w:rFonts w:asciiTheme="majorBidi" w:hAnsiTheme="majorBidi" w:cstheme="majorBidi"/>
          <w:b/>
          <w:bCs/>
          <w:shd w:val="clear" w:color="auto" w:fill="FFFFFF"/>
        </w:rPr>
        <w:t>Alloxan</w:t>
      </w:r>
      <w:proofErr w:type="spellEnd"/>
      <w:r w:rsidRPr="00EC15BD">
        <w:rPr>
          <w:rFonts w:asciiTheme="majorBidi" w:hAnsiTheme="majorBidi" w:cstheme="majorBidi"/>
          <w:b/>
          <w:bCs/>
          <w:shd w:val="clear" w:color="auto" w:fill="FFFFFF"/>
        </w:rPr>
        <w:t xml:space="preserve"> </w:t>
      </w:r>
      <w:r>
        <w:rPr>
          <w:rFonts w:asciiTheme="majorBidi" w:hAnsiTheme="majorBidi" w:cstheme="majorBidi"/>
          <w:b/>
          <w:bCs/>
          <w:shd w:val="clear" w:color="auto" w:fill="FFFFFF"/>
        </w:rPr>
        <w:t>i</w:t>
      </w:r>
      <w:r w:rsidRPr="00EC15BD">
        <w:rPr>
          <w:rFonts w:asciiTheme="majorBidi" w:hAnsiTheme="majorBidi" w:cstheme="majorBidi"/>
          <w:b/>
          <w:bCs/>
          <w:shd w:val="clear" w:color="auto" w:fill="FFFFFF"/>
        </w:rPr>
        <w:t xml:space="preserve">nduced </w:t>
      </w:r>
      <w:r>
        <w:rPr>
          <w:rFonts w:asciiTheme="majorBidi" w:hAnsiTheme="majorBidi" w:cstheme="majorBidi"/>
          <w:b/>
          <w:bCs/>
          <w:shd w:val="clear" w:color="auto" w:fill="FFFFFF"/>
        </w:rPr>
        <w:t>d</w:t>
      </w:r>
      <w:r w:rsidRPr="00EC15BD">
        <w:rPr>
          <w:rFonts w:asciiTheme="majorBidi" w:hAnsiTheme="majorBidi" w:cstheme="majorBidi"/>
          <w:b/>
          <w:bCs/>
          <w:shd w:val="clear" w:color="auto" w:fill="FFFFFF"/>
        </w:rPr>
        <w:t xml:space="preserve">iabetic </w:t>
      </w:r>
      <w:r>
        <w:rPr>
          <w:rFonts w:asciiTheme="majorBidi" w:hAnsiTheme="majorBidi" w:cstheme="majorBidi"/>
          <w:b/>
          <w:bCs/>
          <w:shd w:val="clear" w:color="auto" w:fill="FFFFFF"/>
        </w:rPr>
        <w:t xml:space="preserve">Millets </w:t>
      </w:r>
    </w:p>
    <w:p w:rsidR="00B960DD" w:rsidRDefault="00B960DD" w:rsidP="00A50428">
      <w:pPr>
        <w:tabs>
          <w:tab w:val="left" w:pos="6390"/>
        </w:tabs>
        <w:spacing w:line="480" w:lineRule="auto"/>
        <w:contextualSpacing/>
        <w:jc w:val="both"/>
        <w:rPr>
          <w:rFonts w:asciiTheme="majorBidi" w:hAnsiTheme="majorBidi" w:cstheme="majorBidi"/>
          <w:b/>
          <w:bCs/>
          <w:sz w:val="24"/>
          <w:szCs w:val="24"/>
        </w:rPr>
      </w:pPr>
    </w:p>
    <w:p w:rsidR="00A50428" w:rsidRPr="00A50428" w:rsidRDefault="00A50428" w:rsidP="00A50428">
      <w:pPr>
        <w:tabs>
          <w:tab w:val="left" w:pos="6390"/>
        </w:tabs>
        <w:spacing w:line="480" w:lineRule="auto"/>
        <w:contextualSpacing/>
        <w:jc w:val="both"/>
        <w:rPr>
          <w:rFonts w:asciiTheme="majorBidi" w:hAnsiTheme="majorBidi" w:cstheme="majorBidi"/>
          <w:color w:val="000000"/>
          <w:sz w:val="24"/>
          <w:szCs w:val="24"/>
          <w:shd w:val="clear" w:color="auto" w:fill="FFFFFF"/>
        </w:rPr>
      </w:pPr>
      <w:r w:rsidRPr="00A50428">
        <w:rPr>
          <w:rFonts w:asciiTheme="majorBidi" w:hAnsiTheme="majorBidi" w:cstheme="majorBidi"/>
          <w:b/>
          <w:bCs/>
          <w:sz w:val="24"/>
          <w:szCs w:val="24"/>
        </w:rPr>
        <w:t>Abstract:</w:t>
      </w:r>
      <w:r w:rsidRPr="00A50428">
        <w:rPr>
          <w:rFonts w:asciiTheme="majorBidi" w:hAnsiTheme="majorBidi" w:cstheme="majorBidi"/>
          <w:color w:val="000000"/>
          <w:sz w:val="24"/>
          <w:szCs w:val="24"/>
          <w:shd w:val="clear" w:color="auto" w:fill="FFFFFF"/>
        </w:rPr>
        <w:t xml:space="preserve"> Chronic exposure to </w:t>
      </w:r>
      <w:proofErr w:type="spellStart"/>
      <w:r w:rsidRPr="00A50428">
        <w:rPr>
          <w:rFonts w:asciiTheme="majorBidi" w:hAnsiTheme="majorBidi" w:cstheme="majorBidi"/>
          <w:color w:val="000000"/>
          <w:sz w:val="24"/>
          <w:szCs w:val="24"/>
          <w:shd w:val="clear" w:color="auto" w:fill="FFFFFF"/>
        </w:rPr>
        <w:t>glucocorticoids</w:t>
      </w:r>
      <w:proofErr w:type="spellEnd"/>
      <w:r w:rsidRPr="00A50428">
        <w:rPr>
          <w:rFonts w:asciiTheme="majorBidi" w:hAnsiTheme="majorBidi" w:cstheme="majorBidi"/>
          <w:color w:val="000000"/>
          <w:sz w:val="24"/>
          <w:szCs w:val="24"/>
          <w:shd w:val="clear" w:color="auto" w:fill="FFFFFF"/>
        </w:rPr>
        <w:t xml:space="preserve"> (GC) induces obesity, insulin resistance, diabetes which in turn increases diabetes pathophysiology. Heat shock proteins (HSPs) are known to play vital role in reducing diabetic complications by protecting cells and tissues damage. Gum Arabic (GA, </w:t>
      </w:r>
      <w:r w:rsidRPr="00A50428">
        <w:rPr>
          <w:rFonts w:asciiTheme="majorBidi" w:hAnsiTheme="majorBidi" w:cstheme="majorBidi"/>
          <w:i/>
          <w:iCs/>
          <w:color w:val="000000"/>
          <w:sz w:val="24"/>
          <w:szCs w:val="24"/>
          <w:shd w:val="clear" w:color="auto" w:fill="FFFFFF"/>
        </w:rPr>
        <w:t>Acacia Senegal</w:t>
      </w:r>
      <w:r w:rsidRPr="00A50428">
        <w:rPr>
          <w:rFonts w:asciiTheme="majorBidi" w:hAnsiTheme="majorBidi" w:cstheme="majorBidi"/>
          <w:color w:val="000000"/>
          <w:sz w:val="24"/>
          <w:szCs w:val="24"/>
          <w:shd w:val="clear" w:color="auto" w:fill="FFFFFF"/>
        </w:rPr>
        <w:t xml:space="preserve">) a dietary fiber is known to reduce diabetic complications.  Here we hypothesized that GA treatment may alter HSPs together with GC generating enzyme gene expression. We investigated the regulation of hepatic HSPs and 11β-hydroxysteroid </w:t>
      </w:r>
      <w:proofErr w:type="spellStart"/>
      <w:r w:rsidRPr="00A50428">
        <w:rPr>
          <w:rFonts w:asciiTheme="majorBidi" w:hAnsiTheme="majorBidi" w:cstheme="majorBidi"/>
          <w:color w:val="000000"/>
          <w:sz w:val="24"/>
          <w:szCs w:val="24"/>
          <w:shd w:val="clear" w:color="auto" w:fill="FFFFFF"/>
        </w:rPr>
        <w:t>dehydrogenase</w:t>
      </w:r>
      <w:proofErr w:type="spellEnd"/>
      <w:r w:rsidRPr="00A50428">
        <w:rPr>
          <w:rFonts w:asciiTheme="majorBidi" w:hAnsiTheme="majorBidi" w:cstheme="majorBidi"/>
          <w:color w:val="000000"/>
          <w:sz w:val="24"/>
          <w:szCs w:val="24"/>
          <w:shd w:val="clear" w:color="auto" w:fill="FFFFFF"/>
        </w:rPr>
        <w:t xml:space="preserve"> type 1 (11β-HSD1) by GA manipulation.</w:t>
      </w:r>
      <w:r w:rsidRPr="00A50428">
        <w:rPr>
          <w:rFonts w:asciiTheme="majorBidi" w:hAnsiTheme="majorBidi" w:cstheme="majorBidi"/>
          <w:sz w:val="24"/>
          <w:szCs w:val="24"/>
        </w:rPr>
        <w:t xml:space="preserve"> 60 rats were divided into 3 groups (n=20 of each): control group, diabetic group injected with </w:t>
      </w:r>
      <w:proofErr w:type="spellStart"/>
      <w:r w:rsidRPr="00A50428">
        <w:rPr>
          <w:rFonts w:asciiTheme="majorBidi" w:hAnsiTheme="majorBidi" w:cstheme="majorBidi"/>
          <w:sz w:val="24"/>
          <w:szCs w:val="24"/>
        </w:rPr>
        <w:t>Alloxan</w:t>
      </w:r>
      <w:proofErr w:type="spellEnd"/>
      <w:r w:rsidRPr="00A50428">
        <w:rPr>
          <w:rFonts w:asciiTheme="majorBidi" w:hAnsiTheme="majorBidi" w:cstheme="majorBidi"/>
          <w:sz w:val="24"/>
          <w:szCs w:val="24"/>
        </w:rPr>
        <w:t>, and diabetic group which was given 15% GA in drinking water for 9 weeks</w:t>
      </w:r>
      <w:r w:rsidRPr="00A50428">
        <w:rPr>
          <w:rFonts w:asciiTheme="majorBidi" w:hAnsiTheme="majorBidi" w:cstheme="majorBidi"/>
          <w:color w:val="000000"/>
          <w:sz w:val="24"/>
          <w:szCs w:val="24"/>
          <w:shd w:val="clear" w:color="auto" w:fill="FFFFFF"/>
        </w:rPr>
        <w:t xml:space="preserve">. The treatment of GA significantly (P&lt;0.05) decreased plasma HSP25 and HSP70 concentrations associated with decreased HSP70, and HSP90 mRNA and protein expression but not HSP25. Interestingly, the treatment of GA decreased a plasma </w:t>
      </w:r>
      <w:proofErr w:type="spellStart"/>
      <w:r w:rsidRPr="00A50428">
        <w:rPr>
          <w:rFonts w:asciiTheme="majorBidi" w:hAnsiTheme="majorBidi" w:cstheme="majorBidi"/>
          <w:color w:val="000000"/>
          <w:sz w:val="24"/>
          <w:szCs w:val="24"/>
          <w:shd w:val="clear" w:color="auto" w:fill="FFFFFF"/>
        </w:rPr>
        <w:t>corticosterone</w:t>
      </w:r>
      <w:proofErr w:type="spellEnd"/>
      <w:r w:rsidRPr="00A50428">
        <w:rPr>
          <w:rFonts w:asciiTheme="majorBidi" w:hAnsiTheme="majorBidi" w:cstheme="majorBidi"/>
          <w:color w:val="000000"/>
          <w:sz w:val="24"/>
          <w:szCs w:val="24"/>
          <w:shd w:val="clear" w:color="auto" w:fill="FFFFFF"/>
        </w:rPr>
        <w:t xml:space="preserve"> concentration which was associated with decreased 11β-hydroxysteroid </w:t>
      </w:r>
      <w:proofErr w:type="spellStart"/>
      <w:r w:rsidRPr="00A50428">
        <w:rPr>
          <w:rFonts w:asciiTheme="majorBidi" w:hAnsiTheme="majorBidi" w:cstheme="majorBidi"/>
          <w:color w:val="000000"/>
          <w:sz w:val="24"/>
          <w:szCs w:val="24"/>
          <w:shd w:val="clear" w:color="auto" w:fill="FFFFFF"/>
        </w:rPr>
        <w:t>dehydrogenase</w:t>
      </w:r>
      <w:proofErr w:type="spellEnd"/>
      <w:r w:rsidRPr="00A50428">
        <w:rPr>
          <w:rFonts w:asciiTheme="majorBidi" w:hAnsiTheme="majorBidi" w:cstheme="majorBidi"/>
          <w:color w:val="000000"/>
          <w:sz w:val="24"/>
          <w:szCs w:val="24"/>
          <w:shd w:val="clear" w:color="auto" w:fill="FFFFFF"/>
        </w:rPr>
        <w:t xml:space="preserve"> type 1 expression mRNA expression in the liver, heart and skeletal muscle of mice compared to the control group. Activities of superoxide dismutase (SOD), </w:t>
      </w:r>
      <w:proofErr w:type="spellStart"/>
      <w:r w:rsidRPr="00A50428">
        <w:rPr>
          <w:rFonts w:asciiTheme="majorBidi" w:hAnsiTheme="majorBidi" w:cstheme="majorBidi"/>
          <w:color w:val="000000"/>
          <w:sz w:val="24"/>
          <w:szCs w:val="24"/>
          <w:shd w:val="clear" w:color="auto" w:fill="FFFFFF"/>
        </w:rPr>
        <w:t>catalase</w:t>
      </w:r>
      <w:proofErr w:type="spellEnd"/>
      <w:r w:rsidRPr="00A50428">
        <w:rPr>
          <w:rFonts w:asciiTheme="majorBidi" w:hAnsiTheme="majorBidi" w:cstheme="majorBidi"/>
          <w:color w:val="000000"/>
          <w:sz w:val="24"/>
          <w:szCs w:val="24"/>
          <w:shd w:val="clear" w:color="auto" w:fill="FFFFFF"/>
        </w:rPr>
        <w:t xml:space="preserve"> (CAT) and glutathione </w:t>
      </w:r>
      <w:proofErr w:type="spellStart"/>
      <w:r w:rsidRPr="00A50428">
        <w:rPr>
          <w:rFonts w:asciiTheme="majorBidi" w:hAnsiTheme="majorBidi" w:cstheme="majorBidi"/>
          <w:color w:val="000000"/>
          <w:sz w:val="24"/>
          <w:szCs w:val="24"/>
          <w:shd w:val="clear" w:color="auto" w:fill="FFFFFF"/>
        </w:rPr>
        <w:t>peroxidase</w:t>
      </w:r>
      <w:proofErr w:type="spellEnd"/>
      <w:r w:rsidRPr="00A50428">
        <w:rPr>
          <w:rFonts w:asciiTheme="majorBidi" w:hAnsiTheme="majorBidi" w:cstheme="majorBidi"/>
          <w:color w:val="000000"/>
          <w:sz w:val="24"/>
          <w:szCs w:val="24"/>
          <w:shd w:val="clear" w:color="auto" w:fill="FFFFFF"/>
        </w:rPr>
        <w:t xml:space="preserve"> (</w:t>
      </w:r>
      <w:proofErr w:type="spellStart"/>
      <w:r w:rsidRPr="00A50428">
        <w:rPr>
          <w:rFonts w:asciiTheme="majorBidi" w:hAnsiTheme="majorBidi" w:cstheme="majorBidi"/>
          <w:color w:val="000000"/>
          <w:sz w:val="24"/>
          <w:szCs w:val="24"/>
          <w:shd w:val="clear" w:color="auto" w:fill="FFFFFF"/>
        </w:rPr>
        <w:t>GPx</w:t>
      </w:r>
      <w:proofErr w:type="spellEnd"/>
      <w:r w:rsidRPr="00A50428">
        <w:rPr>
          <w:rFonts w:asciiTheme="majorBidi" w:hAnsiTheme="majorBidi" w:cstheme="majorBidi"/>
          <w:color w:val="000000"/>
          <w:sz w:val="24"/>
          <w:szCs w:val="24"/>
          <w:shd w:val="clear" w:color="auto" w:fill="FFFFFF"/>
        </w:rPr>
        <w:t xml:space="preserve">) were significantly (P&lt;0.05) increased in GA group compared to diabetic and control groups. </w:t>
      </w:r>
      <w:r w:rsidRPr="00A50428">
        <w:rPr>
          <w:rFonts w:asciiTheme="majorBidi" w:hAnsiTheme="majorBidi" w:cstheme="majorBidi"/>
          <w:sz w:val="24"/>
          <w:szCs w:val="24"/>
        </w:rPr>
        <w:t>GA also significantly (P&lt;0.05) reduced the activities of key liver enzymes, including</w:t>
      </w:r>
      <w:r w:rsidRPr="00A50428">
        <w:rPr>
          <w:rFonts w:asciiTheme="majorBidi" w:hAnsiTheme="majorBidi" w:cstheme="majorBidi"/>
          <w:b/>
          <w:bCs/>
          <w:sz w:val="24"/>
          <w:szCs w:val="24"/>
        </w:rPr>
        <w:t xml:space="preserve"> </w:t>
      </w:r>
      <w:proofErr w:type="spellStart"/>
      <w:r w:rsidRPr="00A50428">
        <w:rPr>
          <w:rFonts w:asciiTheme="majorBidi" w:hAnsiTheme="majorBidi" w:cstheme="majorBidi"/>
          <w:sz w:val="24"/>
          <w:szCs w:val="24"/>
        </w:rPr>
        <w:t>alanine</w:t>
      </w:r>
      <w:proofErr w:type="spellEnd"/>
      <w:r w:rsidRPr="00A50428">
        <w:rPr>
          <w:rFonts w:asciiTheme="majorBidi" w:hAnsiTheme="majorBidi" w:cstheme="majorBidi"/>
          <w:sz w:val="24"/>
          <w:szCs w:val="24"/>
        </w:rPr>
        <w:t xml:space="preserve"> </w:t>
      </w:r>
      <w:proofErr w:type="spellStart"/>
      <w:r w:rsidRPr="00A50428">
        <w:rPr>
          <w:rFonts w:asciiTheme="majorBidi" w:hAnsiTheme="majorBidi" w:cstheme="majorBidi"/>
          <w:sz w:val="24"/>
          <w:szCs w:val="24"/>
        </w:rPr>
        <w:t>transaminase</w:t>
      </w:r>
      <w:proofErr w:type="spellEnd"/>
      <w:r w:rsidRPr="00A50428">
        <w:rPr>
          <w:rFonts w:asciiTheme="majorBidi" w:hAnsiTheme="majorBidi" w:cstheme="majorBidi"/>
          <w:sz w:val="24"/>
          <w:szCs w:val="24"/>
        </w:rPr>
        <w:t xml:space="preserve"> (ALT) and </w:t>
      </w:r>
      <w:proofErr w:type="spellStart"/>
      <w:r w:rsidRPr="00A50428">
        <w:rPr>
          <w:rFonts w:asciiTheme="majorBidi" w:hAnsiTheme="majorBidi" w:cstheme="majorBidi"/>
          <w:sz w:val="24"/>
          <w:szCs w:val="24"/>
        </w:rPr>
        <w:t>aspartate</w:t>
      </w:r>
      <w:proofErr w:type="spellEnd"/>
      <w:r w:rsidRPr="00A50428">
        <w:rPr>
          <w:rFonts w:asciiTheme="majorBidi" w:hAnsiTheme="majorBidi" w:cstheme="majorBidi"/>
          <w:sz w:val="24"/>
          <w:szCs w:val="24"/>
        </w:rPr>
        <w:t xml:space="preserve"> </w:t>
      </w:r>
      <w:proofErr w:type="spellStart"/>
      <w:r w:rsidRPr="00A50428">
        <w:rPr>
          <w:rFonts w:asciiTheme="majorBidi" w:hAnsiTheme="majorBidi" w:cstheme="majorBidi"/>
          <w:sz w:val="24"/>
          <w:szCs w:val="24"/>
        </w:rPr>
        <w:t>transaminase</w:t>
      </w:r>
      <w:proofErr w:type="spellEnd"/>
      <w:r w:rsidRPr="00A50428">
        <w:rPr>
          <w:rFonts w:asciiTheme="majorBidi" w:hAnsiTheme="majorBidi" w:cstheme="majorBidi"/>
          <w:sz w:val="24"/>
          <w:szCs w:val="24"/>
        </w:rPr>
        <w:t xml:space="preserve"> (AST). </w:t>
      </w:r>
      <w:r w:rsidRPr="00A50428">
        <w:rPr>
          <w:rFonts w:asciiTheme="majorBidi" w:hAnsiTheme="majorBidi" w:cstheme="majorBidi"/>
          <w:color w:val="000000"/>
          <w:sz w:val="24"/>
          <w:szCs w:val="24"/>
          <w:shd w:val="clear" w:color="auto" w:fill="FFFFFF"/>
        </w:rPr>
        <w:t xml:space="preserve">The treatment of GA decreased liver </w:t>
      </w:r>
      <w:proofErr w:type="spellStart"/>
      <w:r w:rsidRPr="00A50428">
        <w:rPr>
          <w:rFonts w:asciiTheme="majorBidi" w:hAnsiTheme="majorBidi" w:cstheme="majorBidi"/>
          <w:color w:val="000000"/>
          <w:sz w:val="24"/>
          <w:szCs w:val="24"/>
          <w:shd w:val="clear" w:color="auto" w:fill="FFFFFF"/>
        </w:rPr>
        <w:t>malondialdehyde</w:t>
      </w:r>
      <w:proofErr w:type="spellEnd"/>
      <w:r w:rsidRPr="00A50428">
        <w:rPr>
          <w:rFonts w:asciiTheme="majorBidi" w:hAnsiTheme="majorBidi" w:cstheme="majorBidi"/>
          <w:color w:val="000000"/>
          <w:sz w:val="24"/>
          <w:szCs w:val="24"/>
          <w:shd w:val="clear" w:color="auto" w:fill="FFFFFF"/>
        </w:rPr>
        <w:t xml:space="preserve"> (MDA), while increased glutathione (GSH).Taken together, feeding of GA decreased </w:t>
      </w:r>
      <w:r w:rsidRPr="00A50428">
        <w:rPr>
          <w:rFonts w:asciiTheme="majorBidi" w:hAnsiTheme="majorBidi" w:cstheme="majorBidi"/>
          <w:color w:val="000000"/>
          <w:sz w:val="24"/>
          <w:szCs w:val="24"/>
          <w:shd w:val="clear" w:color="auto" w:fill="FFFFFF"/>
        </w:rPr>
        <w:lastRenderedPageBreak/>
        <w:t xml:space="preserve">HSPs and 11β-HSD1 expression both at transcriptional and post-transcriptional levels with improvement oxidant-capacity. </w:t>
      </w:r>
    </w:p>
    <w:p w:rsidR="00A50428" w:rsidRPr="00A50428" w:rsidRDefault="00A50428" w:rsidP="00A50428">
      <w:pPr>
        <w:spacing w:line="480" w:lineRule="auto"/>
        <w:contextualSpacing/>
        <w:jc w:val="both"/>
        <w:rPr>
          <w:rFonts w:asciiTheme="majorBidi" w:hAnsiTheme="majorBidi" w:cstheme="majorBidi"/>
          <w:sz w:val="24"/>
          <w:szCs w:val="24"/>
        </w:rPr>
      </w:pPr>
      <w:r w:rsidRPr="00A50428">
        <w:rPr>
          <w:rFonts w:asciiTheme="majorBidi" w:hAnsiTheme="majorBidi" w:cstheme="majorBidi"/>
          <w:b/>
          <w:bCs/>
          <w:sz w:val="24"/>
          <w:szCs w:val="24"/>
        </w:rPr>
        <w:t>Keywords:</w:t>
      </w:r>
      <w:r w:rsidRPr="00A50428">
        <w:rPr>
          <w:rFonts w:asciiTheme="majorBidi" w:hAnsiTheme="majorBidi" w:cstheme="majorBidi"/>
          <w:sz w:val="24"/>
          <w:szCs w:val="24"/>
        </w:rPr>
        <w:t xml:space="preserve"> Gum Arabic; Diabetes </w:t>
      </w:r>
      <w:r w:rsidRPr="00A50428">
        <w:rPr>
          <w:rFonts w:asciiTheme="majorBidi" w:hAnsiTheme="majorBidi" w:cstheme="majorBidi"/>
          <w:color w:val="000000"/>
          <w:sz w:val="24"/>
          <w:szCs w:val="24"/>
          <w:shd w:val="clear" w:color="auto" w:fill="FFFFFF"/>
        </w:rPr>
        <w:t>type</w:t>
      </w:r>
      <w:r w:rsidRPr="00A50428">
        <w:rPr>
          <w:rFonts w:asciiTheme="majorBidi" w:eastAsia="AdvGulliv-R" w:hAnsiTheme="majorBidi" w:cstheme="majorBidi"/>
          <w:color w:val="FF0000"/>
          <w:sz w:val="24"/>
          <w:szCs w:val="24"/>
        </w:rPr>
        <w:t xml:space="preserve"> </w:t>
      </w:r>
      <w:r w:rsidRPr="00A50428">
        <w:rPr>
          <w:rFonts w:asciiTheme="majorBidi" w:hAnsiTheme="majorBidi" w:cstheme="majorBidi"/>
          <w:color w:val="000000"/>
          <w:sz w:val="24"/>
          <w:szCs w:val="24"/>
          <w:shd w:val="clear" w:color="auto" w:fill="FFFFFF"/>
        </w:rPr>
        <w:t>I;</w:t>
      </w:r>
      <w:r w:rsidRPr="00A50428">
        <w:rPr>
          <w:rFonts w:asciiTheme="majorBidi" w:hAnsiTheme="majorBidi" w:cstheme="majorBidi"/>
          <w:sz w:val="24"/>
          <w:szCs w:val="24"/>
        </w:rPr>
        <w:t xml:space="preserve"> Heat Shock Proteins; Rat, </w:t>
      </w:r>
      <w:r w:rsidRPr="00A50428">
        <w:rPr>
          <w:rFonts w:asciiTheme="majorBidi" w:hAnsiTheme="majorBidi" w:cstheme="majorBidi"/>
          <w:color w:val="000000"/>
          <w:sz w:val="24"/>
          <w:szCs w:val="24"/>
          <w:shd w:val="clear" w:color="auto" w:fill="FFFFFF"/>
        </w:rPr>
        <w:t xml:space="preserve">11β-HSD1 </w:t>
      </w:r>
    </w:p>
    <w:p w:rsidR="00F43CFC" w:rsidRPr="00A50428" w:rsidRDefault="00F43CFC" w:rsidP="00A50428">
      <w:pPr>
        <w:spacing w:line="480" w:lineRule="auto"/>
        <w:rPr>
          <w:rFonts w:asciiTheme="majorBidi" w:hAnsiTheme="majorBidi" w:cstheme="majorBidi"/>
          <w:sz w:val="24"/>
          <w:szCs w:val="24"/>
        </w:rPr>
      </w:pPr>
    </w:p>
    <w:sectPr w:rsidR="00F43CFC" w:rsidRPr="00A50428" w:rsidSect="00524C76">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dvGulliv-R">
    <w:altName w:val="Microsoft YaHei"/>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useFELayout/>
  </w:compat>
  <w:rsids>
    <w:rsidRoot w:val="00A50428"/>
    <w:rsid w:val="00524C76"/>
    <w:rsid w:val="00A50428"/>
    <w:rsid w:val="00B960DD"/>
    <w:rsid w:val="00F43CF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C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288</Words>
  <Characters>1647</Characters>
  <Application>Microsoft Office Word</Application>
  <DocSecurity>0</DocSecurity>
  <Lines>13</Lines>
  <Paragraphs>3</Paragraphs>
  <ScaleCrop>false</ScaleCrop>
  <Company>Toshiba</Company>
  <LinksUpToDate>false</LinksUpToDate>
  <CharactersWithSpaces>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Sherhan</dc:creator>
  <cp:keywords/>
  <dc:description/>
  <cp:lastModifiedBy>Sherhan</cp:lastModifiedBy>
  <cp:revision>3</cp:revision>
  <dcterms:created xsi:type="dcterms:W3CDTF">2019-07-29T15:30:00Z</dcterms:created>
  <dcterms:modified xsi:type="dcterms:W3CDTF">2019-08-05T17:00:00Z</dcterms:modified>
</cp:coreProperties>
</file>