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FB6" w:rsidRDefault="00ED3FB6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  <w:r>
        <w:rPr>
          <w:rFonts w:asciiTheme="majorBidi" w:hAnsiTheme="majorBidi" w:cstheme="majorBidi"/>
          <w:b/>
          <w:sz w:val="32"/>
          <w:szCs w:val="32"/>
        </w:rPr>
        <w:t>Development and validation of diabetes medication adherence scale in the Lebanese population.</w:t>
      </w:r>
    </w:p>
    <w:p w:rsidR="00ED3FB6" w:rsidRDefault="00ED3FB6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  <w:bookmarkStart w:id="0" w:name="_GoBack"/>
      <w:bookmarkEnd w:id="0"/>
    </w:p>
    <w:p w:rsidR="00F52551" w:rsidRPr="00057CC4" w:rsidRDefault="00F52551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  <w:r w:rsidRPr="00F52551">
        <w:rPr>
          <w:rFonts w:asciiTheme="majorBidi" w:hAnsiTheme="majorBidi" w:cstheme="majorBidi"/>
          <w:b/>
          <w:sz w:val="32"/>
          <w:szCs w:val="32"/>
        </w:rPr>
        <w:t>Abstract</w:t>
      </w:r>
    </w:p>
    <w:p w:rsidR="00F52551" w:rsidRPr="00A039CF" w:rsidRDefault="00F52551" w:rsidP="00F52551">
      <w:pPr>
        <w:pStyle w:val="Default"/>
        <w:spacing w:line="276" w:lineRule="auto"/>
        <w:rPr>
          <w:rFonts w:asciiTheme="majorBidi" w:hAnsiTheme="majorBidi" w:cstheme="majorBidi"/>
          <w:b/>
        </w:rPr>
      </w:pPr>
    </w:p>
    <w:p w:rsidR="00FB0511" w:rsidRDefault="00FB0511" w:rsidP="000645B9">
      <w:pPr>
        <w:jc w:val="both"/>
        <w:rPr>
          <w:rFonts w:asciiTheme="majorBidi" w:hAnsiTheme="majorBidi" w:cstheme="majorBidi"/>
          <w:b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sz w:val="24"/>
          <w:szCs w:val="24"/>
        </w:rPr>
        <w:t>Mallah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Z,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Hammoud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Y,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Rachidi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Awada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Zein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Ballout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H, Al-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Hajje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A. </w:t>
      </w:r>
    </w:p>
    <w:p w:rsidR="00F52551" w:rsidRDefault="00F52551" w:rsidP="000645B9">
      <w:pPr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A039CF">
        <w:rPr>
          <w:rFonts w:asciiTheme="majorBidi" w:hAnsiTheme="majorBidi" w:cstheme="majorBidi"/>
          <w:b/>
          <w:sz w:val="24"/>
          <w:szCs w:val="24"/>
        </w:rPr>
        <w:t>Introduction:</w:t>
      </w:r>
      <w:r w:rsidR="000645B9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37023F" w:rsidRPr="003727A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Diabetes type </w:t>
      </w:r>
      <w:r w:rsidR="000645B9" w:rsidRPr="003727A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II</w:t>
      </w:r>
      <w:r w:rsidR="0037023F" w:rsidRPr="003727A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is considered one of the main public health concerns. Lack of adherence to treatment leads to poor therapeutic outcome, poor glycemic control, and high</w:t>
      </w:r>
      <w:r w:rsidR="003727A6" w:rsidRPr="003727A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er</w:t>
      </w:r>
      <w:r w:rsidR="0037023F" w:rsidRPr="003727A6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risk for developing diabetes complications. </w:t>
      </w:r>
      <w:r w:rsidRPr="00A039C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The objective of this study was to </w:t>
      </w:r>
      <w:r>
        <w:rPr>
          <w:rFonts w:asciiTheme="majorBidi" w:hAnsiTheme="majorBidi" w:cstheme="majorBidi"/>
          <w:sz w:val="24"/>
          <w:szCs w:val="24"/>
        </w:rPr>
        <w:t xml:space="preserve">evaluate factors affecting </w:t>
      </w:r>
      <w:r w:rsidRPr="00B3145C">
        <w:rPr>
          <w:rFonts w:asciiTheme="majorBidi" w:hAnsiTheme="majorBidi" w:cstheme="majorBidi"/>
          <w:sz w:val="24"/>
          <w:szCs w:val="24"/>
        </w:rPr>
        <w:t xml:space="preserve">adherence </w:t>
      </w:r>
      <w:r>
        <w:rPr>
          <w:rFonts w:asciiTheme="majorBidi" w:hAnsiTheme="majorBidi" w:cstheme="majorBidi"/>
          <w:sz w:val="24"/>
          <w:szCs w:val="24"/>
        </w:rPr>
        <w:t>to oral antidiabetic treatment in the Lebanese population,</w:t>
      </w:r>
      <w:r w:rsidRPr="00B3145C">
        <w:rPr>
          <w:rFonts w:asciiTheme="majorBidi" w:hAnsiTheme="majorBidi" w:cstheme="majorBidi"/>
          <w:sz w:val="24"/>
          <w:szCs w:val="24"/>
        </w:rPr>
        <w:t xml:space="preserve"> to develop the Diabetes Medication Adherence Scale (DMAS)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A039C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validate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it.</w:t>
      </w:r>
    </w:p>
    <w:p w:rsidR="00F52551" w:rsidRDefault="00F52551" w:rsidP="003727A6">
      <w:pPr>
        <w:jc w:val="both"/>
        <w:rPr>
          <w:rFonts w:asciiTheme="majorBidi" w:hAnsiTheme="majorBidi" w:cstheme="majorBidi"/>
          <w:sz w:val="24"/>
          <w:szCs w:val="24"/>
        </w:rPr>
      </w:pPr>
      <w:r w:rsidRPr="00A039CF">
        <w:rPr>
          <w:rFonts w:asciiTheme="majorBidi" w:hAnsiTheme="majorBidi" w:cstheme="majorBidi"/>
          <w:b/>
          <w:sz w:val="24"/>
          <w:szCs w:val="24"/>
        </w:rPr>
        <w:t>Methods:</w:t>
      </w:r>
      <w:r w:rsidRPr="00A039CF">
        <w:rPr>
          <w:rFonts w:asciiTheme="majorBidi" w:hAnsiTheme="majorBidi" w:cstheme="majorBidi"/>
          <w:sz w:val="24"/>
          <w:szCs w:val="24"/>
        </w:rPr>
        <w:t xml:space="preserve"> A descriptive cross-sectional study was conducted</w:t>
      </w:r>
      <w:r w:rsidR="00652F7A">
        <w:rPr>
          <w:rFonts w:asciiTheme="majorBidi" w:hAnsiTheme="majorBidi" w:cstheme="majorBidi"/>
          <w:sz w:val="24"/>
          <w:szCs w:val="24"/>
        </w:rPr>
        <w:t xml:space="preserve"> in </w:t>
      </w:r>
      <w:proofErr w:type="gramStart"/>
      <w:r w:rsidR="00652F7A">
        <w:rPr>
          <w:rFonts w:asciiTheme="majorBidi" w:hAnsiTheme="majorBidi" w:cstheme="majorBidi"/>
          <w:sz w:val="24"/>
          <w:szCs w:val="24"/>
        </w:rPr>
        <w:t>outpatients</w:t>
      </w:r>
      <w:proofErr w:type="gramEnd"/>
      <w:r w:rsidR="00652F7A">
        <w:rPr>
          <w:rFonts w:asciiTheme="majorBidi" w:hAnsiTheme="majorBidi" w:cstheme="majorBidi"/>
          <w:sz w:val="24"/>
          <w:szCs w:val="24"/>
        </w:rPr>
        <w:t xml:space="preserve"> endocrinology clinics </w:t>
      </w:r>
      <w:r w:rsidRPr="00A039CF">
        <w:rPr>
          <w:rFonts w:asciiTheme="majorBidi" w:hAnsiTheme="majorBidi" w:cstheme="majorBidi"/>
          <w:sz w:val="24"/>
          <w:szCs w:val="24"/>
        </w:rPr>
        <w:t xml:space="preserve">selected from private and hospital clinics located mainly in Beirut, Lebanon. Data was collected </w:t>
      </w:r>
      <w:r w:rsidR="00290002" w:rsidRPr="003727A6">
        <w:rPr>
          <w:rFonts w:asciiTheme="majorBidi" w:hAnsiTheme="majorBidi" w:cstheme="majorBidi"/>
          <w:sz w:val="24"/>
          <w:szCs w:val="24"/>
        </w:rPr>
        <w:t xml:space="preserve">by trained pharmacists </w:t>
      </w:r>
      <w:r w:rsidRPr="00A039CF">
        <w:rPr>
          <w:rFonts w:asciiTheme="majorBidi" w:hAnsiTheme="majorBidi" w:cstheme="majorBidi"/>
          <w:sz w:val="24"/>
          <w:szCs w:val="24"/>
        </w:rPr>
        <w:t>from adults aged abo</w:t>
      </w:r>
      <w:r w:rsidR="00652F7A">
        <w:rPr>
          <w:rFonts w:asciiTheme="majorBidi" w:hAnsiTheme="majorBidi" w:cstheme="majorBidi"/>
          <w:sz w:val="24"/>
          <w:szCs w:val="24"/>
        </w:rPr>
        <w:t>ve 18 years, diagnosed by type II</w:t>
      </w:r>
      <w:r w:rsidRPr="00A039CF">
        <w:rPr>
          <w:rFonts w:asciiTheme="majorBidi" w:hAnsiTheme="majorBidi" w:cstheme="majorBidi"/>
          <w:sz w:val="24"/>
          <w:szCs w:val="24"/>
        </w:rPr>
        <w:t xml:space="preserve"> diabetes and taking an oral antidiabetic for at least 6 months using a </w:t>
      </w:r>
      <w:r w:rsidR="00652F7A">
        <w:rPr>
          <w:rFonts w:asciiTheme="majorBidi" w:hAnsiTheme="majorBidi" w:cstheme="majorBidi"/>
          <w:sz w:val="24"/>
          <w:szCs w:val="24"/>
        </w:rPr>
        <w:t xml:space="preserve">structured </w:t>
      </w:r>
      <w:r w:rsidRPr="00A039CF">
        <w:rPr>
          <w:rFonts w:asciiTheme="majorBidi" w:hAnsiTheme="majorBidi" w:cstheme="majorBidi"/>
          <w:sz w:val="24"/>
          <w:szCs w:val="24"/>
        </w:rPr>
        <w:t>questionnaire</w:t>
      </w:r>
      <w:r w:rsidRPr="003727A6">
        <w:rPr>
          <w:rFonts w:asciiTheme="majorBidi" w:hAnsiTheme="majorBidi" w:cstheme="majorBidi"/>
          <w:sz w:val="24"/>
          <w:szCs w:val="24"/>
        </w:rPr>
        <w:t>. The level of adherence was measured using the Lebanese Medication Adherence Scale (LMAS-14)</w:t>
      </w:r>
      <w:r w:rsidR="00652F7A" w:rsidRPr="003727A6">
        <w:rPr>
          <w:rFonts w:asciiTheme="majorBidi" w:hAnsiTheme="majorBidi" w:cstheme="majorBidi"/>
          <w:sz w:val="24"/>
          <w:szCs w:val="24"/>
        </w:rPr>
        <w:t xml:space="preserve"> for the development </w:t>
      </w:r>
      <w:r w:rsidR="003727A6" w:rsidRPr="003727A6">
        <w:rPr>
          <w:rFonts w:asciiTheme="majorBidi" w:hAnsiTheme="majorBidi" w:cstheme="majorBidi"/>
          <w:sz w:val="24"/>
          <w:szCs w:val="24"/>
        </w:rPr>
        <w:t xml:space="preserve">and validation </w:t>
      </w:r>
      <w:r w:rsidR="00652F7A" w:rsidRPr="003727A6">
        <w:rPr>
          <w:rFonts w:asciiTheme="majorBidi" w:hAnsiTheme="majorBidi" w:cstheme="majorBidi"/>
          <w:sz w:val="24"/>
          <w:szCs w:val="24"/>
        </w:rPr>
        <w:t xml:space="preserve">of the </w:t>
      </w:r>
      <w:r w:rsidR="003727A6" w:rsidRPr="003727A6">
        <w:rPr>
          <w:rFonts w:asciiTheme="majorBidi" w:hAnsiTheme="majorBidi" w:cstheme="majorBidi"/>
          <w:sz w:val="24"/>
          <w:szCs w:val="24"/>
        </w:rPr>
        <w:t xml:space="preserve">DMAS-7 </w:t>
      </w:r>
      <w:r w:rsidR="00652F7A" w:rsidRPr="003727A6">
        <w:rPr>
          <w:rFonts w:asciiTheme="majorBidi" w:hAnsiTheme="majorBidi" w:cstheme="majorBidi"/>
          <w:sz w:val="24"/>
          <w:szCs w:val="24"/>
        </w:rPr>
        <w:t>scale</w:t>
      </w:r>
      <w:r w:rsidR="00290002" w:rsidRPr="003727A6">
        <w:rPr>
          <w:rFonts w:asciiTheme="majorBidi" w:hAnsiTheme="majorBidi" w:cstheme="majorBidi"/>
          <w:sz w:val="24"/>
          <w:szCs w:val="24"/>
        </w:rPr>
        <w:t>.</w:t>
      </w:r>
      <w:r w:rsidR="00290002">
        <w:rPr>
          <w:rFonts w:asciiTheme="majorBidi" w:hAnsiTheme="majorBidi" w:cstheme="majorBidi"/>
          <w:sz w:val="24"/>
          <w:szCs w:val="24"/>
        </w:rPr>
        <w:t xml:space="preserve"> </w:t>
      </w:r>
      <w:r w:rsidR="00884EE1">
        <w:rPr>
          <w:rFonts w:asciiTheme="majorBidi" w:hAnsiTheme="majorBidi" w:cstheme="majorBidi"/>
          <w:sz w:val="24"/>
          <w:szCs w:val="24"/>
        </w:rPr>
        <w:t>M</w:t>
      </w:r>
      <w:r w:rsidRPr="00A039CF">
        <w:rPr>
          <w:rFonts w:asciiTheme="majorBidi" w:hAnsiTheme="majorBidi" w:cstheme="majorBidi"/>
          <w:sz w:val="24"/>
          <w:szCs w:val="24"/>
        </w:rPr>
        <w:t>ulti</w:t>
      </w:r>
      <w:r>
        <w:rPr>
          <w:rFonts w:asciiTheme="majorBidi" w:hAnsiTheme="majorBidi" w:cstheme="majorBidi"/>
          <w:sz w:val="24"/>
          <w:szCs w:val="24"/>
        </w:rPr>
        <w:t>variate analyses were conducted using SPSS version 19.</w:t>
      </w:r>
      <w:r w:rsidRPr="003727A6">
        <w:rPr>
          <w:rFonts w:asciiTheme="majorBidi" w:hAnsiTheme="majorBidi" w:cstheme="majorBidi"/>
          <w:sz w:val="24"/>
          <w:szCs w:val="24"/>
        </w:rPr>
        <w:t xml:space="preserve"> Psychometric evaluation of DMAS </w:t>
      </w:r>
      <w:r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included an assessment of internal consistency, factor analysis, evaluation of sensitivity and specificity. Criterion-related validity was assessed by comparison with LMAS-14 measure of adherence.</w:t>
      </w:r>
      <w:r>
        <w:rPr>
          <w:rFonts w:asciiTheme="majorBidi" w:hAnsiTheme="majorBidi" w:cstheme="majorBidi"/>
          <w:sz w:val="24"/>
          <w:szCs w:val="24"/>
        </w:rPr>
        <w:t xml:space="preserve">  T</w:t>
      </w:r>
      <w:r w:rsidRPr="00A039CF">
        <w:rPr>
          <w:rFonts w:asciiTheme="majorBidi" w:hAnsiTheme="majorBidi" w:cstheme="majorBidi"/>
          <w:sz w:val="24"/>
          <w:szCs w:val="24"/>
        </w:rPr>
        <w:t>he scale was validated in terms of reliability, predictive ability, and construct validity</w:t>
      </w:r>
      <w:r>
        <w:rPr>
          <w:rFonts w:asciiTheme="majorBidi" w:hAnsiTheme="majorBidi" w:cstheme="majorBidi"/>
          <w:sz w:val="24"/>
          <w:szCs w:val="24"/>
        </w:rPr>
        <w:t>.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</w:p>
    <w:p w:rsidR="005222B1" w:rsidRDefault="00F52551" w:rsidP="003727A6">
      <w:pPr>
        <w:jc w:val="both"/>
        <w:rPr>
          <w:rFonts w:asciiTheme="majorBidi" w:hAnsiTheme="majorBidi" w:cstheme="majorBidi"/>
          <w:sz w:val="24"/>
          <w:szCs w:val="24"/>
        </w:rPr>
      </w:pPr>
      <w:r w:rsidRPr="003727A6">
        <w:rPr>
          <w:rFonts w:asciiTheme="majorBidi" w:hAnsiTheme="majorBidi" w:cstheme="majorBidi"/>
          <w:sz w:val="24"/>
          <w:szCs w:val="24"/>
        </w:rPr>
        <w:t>Results: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  <w:r w:rsidR="008C29D3" w:rsidRPr="005E69E7">
        <w:rPr>
          <w:rFonts w:asciiTheme="majorBidi" w:hAnsiTheme="majorBidi" w:cstheme="majorBidi"/>
          <w:sz w:val="24"/>
          <w:szCs w:val="24"/>
        </w:rPr>
        <w:t xml:space="preserve">500 patients were recruited for the part of development of scale. </w:t>
      </w:r>
      <w:r w:rsidR="008C29D3" w:rsidRPr="00B3145C">
        <w:rPr>
          <w:rFonts w:asciiTheme="majorBidi" w:hAnsiTheme="majorBidi" w:cstheme="majorBidi"/>
          <w:sz w:val="24"/>
          <w:szCs w:val="24"/>
        </w:rPr>
        <w:t>The exploratory factor analysis perfo</w:t>
      </w:r>
      <w:r w:rsidR="00406E83">
        <w:rPr>
          <w:rFonts w:asciiTheme="majorBidi" w:hAnsiTheme="majorBidi" w:cstheme="majorBidi"/>
          <w:sz w:val="24"/>
          <w:szCs w:val="24"/>
        </w:rPr>
        <w:t>rmed resulted in a 7 item DMAS  (p&lt; 0,001)</w:t>
      </w:r>
      <w:r w:rsidR="004F7112">
        <w:rPr>
          <w:rFonts w:asciiTheme="majorBidi" w:hAnsiTheme="majorBidi" w:cstheme="majorBidi"/>
          <w:sz w:val="24"/>
          <w:szCs w:val="24"/>
        </w:rPr>
        <w:t xml:space="preserve"> </w:t>
      </w:r>
      <w:r w:rsidR="003727A6">
        <w:rPr>
          <w:rFonts w:asciiTheme="majorBidi" w:hAnsiTheme="majorBidi" w:cstheme="majorBidi"/>
          <w:sz w:val="24"/>
          <w:szCs w:val="24"/>
        </w:rPr>
        <w:t>including</w:t>
      </w:r>
      <w:r w:rsidR="00406E83">
        <w:rPr>
          <w:rFonts w:asciiTheme="majorBidi" w:hAnsiTheme="majorBidi" w:cstheme="majorBidi"/>
          <w:sz w:val="24"/>
          <w:szCs w:val="24"/>
        </w:rPr>
        <w:t xml:space="preserve">: 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Stop taking the medication when </w:t>
      </w:r>
      <w:r w:rsidR="003727A6" w:rsidRPr="003727A6">
        <w:rPr>
          <w:rFonts w:asciiTheme="majorBidi" w:hAnsiTheme="majorBidi" w:cstheme="majorBidi"/>
          <w:sz w:val="24"/>
          <w:szCs w:val="24"/>
        </w:rPr>
        <w:t>patient feels well or worse, skip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 or double the dose in case of hypo-hyperglycemia, </w:t>
      </w:r>
      <w:r w:rsidR="006E1FA1" w:rsidRPr="003727A6">
        <w:rPr>
          <w:rFonts w:asciiTheme="majorBidi" w:hAnsiTheme="majorBidi" w:cstheme="majorBidi"/>
          <w:sz w:val="24"/>
          <w:szCs w:val="24"/>
        </w:rPr>
        <w:t xml:space="preserve">drug discontinuation when travelling </w:t>
      </w:r>
      <w:r w:rsidR="003727A6" w:rsidRPr="003727A6">
        <w:rPr>
          <w:rFonts w:asciiTheme="majorBidi" w:hAnsiTheme="majorBidi" w:cstheme="majorBidi"/>
          <w:sz w:val="24"/>
          <w:szCs w:val="24"/>
        </w:rPr>
        <w:t>or going out, skip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 the medication if fasting and stop taking medication if there no medical insurance.</w:t>
      </w:r>
      <w:r w:rsidR="004F7112" w:rsidRPr="003727A6">
        <w:rPr>
          <w:rFonts w:asciiTheme="majorBidi" w:hAnsiTheme="majorBidi" w:cstheme="majorBidi"/>
          <w:sz w:val="24"/>
          <w:szCs w:val="24"/>
        </w:rPr>
        <w:t xml:space="preserve"> </w:t>
      </w:r>
      <w:r w:rsidR="005E69E7" w:rsidRPr="003727A6">
        <w:rPr>
          <w:rFonts w:asciiTheme="majorBidi" w:hAnsiTheme="majorBidi" w:cstheme="majorBidi"/>
          <w:sz w:val="24"/>
          <w:szCs w:val="24"/>
        </w:rPr>
        <w:t>Sensitivity and specificity reached 70.39% and 51.47% respectively.</w:t>
      </w:r>
      <w:r w:rsidR="005222B1" w:rsidRPr="003727A6">
        <w:rPr>
          <w:rFonts w:asciiTheme="majorBidi" w:hAnsiTheme="majorBidi" w:cstheme="majorBidi"/>
          <w:sz w:val="24"/>
          <w:szCs w:val="24"/>
        </w:rPr>
        <w:t xml:space="preserve"> </w:t>
      </w:r>
      <w:r w:rsidR="005E69E7">
        <w:rPr>
          <w:rFonts w:asciiTheme="majorBidi" w:hAnsiTheme="majorBidi" w:cstheme="majorBidi"/>
          <w:sz w:val="24"/>
          <w:szCs w:val="24"/>
        </w:rPr>
        <w:t>After development of scale, another population of 300 subjects was recruited for the validation of this scale. T</w:t>
      </w:r>
      <w:r w:rsidRPr="00A039CF">
        <w:rPr>
          <w:rFonts w:asciiTheme="majorBidi" w:hAnsiTheme="majorBidi" w:cstheme="majorBidi"/>
          <w:sz w:val="24"/>
          <w:szCs w:val="24"/>
        </w:rPr>
        <w:t xml:space="preserve">he rate of adherence was </w:t>
      </w:r>
      <w:r w:rsidR="005E69E7">
        <w:rPr>
          <w:rFonts w:asciiTheme="majorBidi" w:hAnsiTheme="majorBidi" w:cstheme="majorBidi"/>
          <w:sz w:val="24"/>
          <w:szCs w:val="24"/>
        </w:rPr>
        <w:t xml:space="preserve">found to be </w:t>
      </w:r>
      <w:r w:rsidRPr="00A039CF">
        <w:rPr>
          <w:rFonts w:asciiTheme="majorBidi" w:hAnsiTheme="majorBidi" w:cstheme="majorBidi"/>
          <w:sz w:val="24"/>
          <w:szCs w:val="24"/>
        </w:rPr>
        <w:t>only 33.7% using DMAS-7</w:t>
      </w:r>
      <w:r w:rsidRPr="00FB051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="00FB0511" w:rsidRPr="00FB0511">
        <w:rPr>
          <w:rFonts w:asciiTheme="majorBidi" w:hAnsiTheme="majorBidi" w:cstheme="majorBidi"/>
          <w:color w:val="000000" w:themeColor="text1"/>
          <w:sz w:val="24"/>
          <w:szCs w:val="24"/>
        </w:rPr>
        <w:t>This suboptimal adherence level was significantly associated to many factors including monthly medication cost, diet follow-up, HbA1c, postponing doctors’ visits, feeling of treatment burden and inefficacy, number of medications per day, etc</w:t>
      </w:r>
      <w:r w:rsidR="00FB0511" w:rsidRPr="00FB051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final 7-item scale 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(DMAS) 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had a good internal c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>onsistency (Cronbach's α = 0.627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 and a good 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>construct validity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with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LMAS-14 (Spearman’s rho = 0.846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, Cohen’s kapp</w:t>
      </w:r>
      <w:r w:rsidR="005E69E7">
        <w:rPr>
          <w:rFonts w:asciiTheme="majorBidi" w:hAnsiTheme="majorBidi" w:cstheme="majorBidi"/>
          <w:sz w:val="24"/>
          <w:szCs w:val="24"/>
        </w:rPr>
        <w:t>a = 0.711</w:t>
      </w:r>
      <w:r w:rsidR="005E69E7" w:rsidRPr="00B3145C">
        <w:rPr>
          <w:rFonts w:asciiTheme="majorBidi" w:hAnsiTheme="majorBidi" w:cstheme="majorBidi"/>
          <w:sz w:val="24"/>
          <w:szCs w:val="24"/>
        </w:rPr>
        <w:t>).</w:t>
      </w:r>
      <w:r w:rsidR="005E69E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Both scales</w:t>
      </w:r>
      <w:r w:rsidRPr="00A039CF">
        <w:rPr>
          <w:rFonts w:asciiTheme="majorBidi" w:hAnsiTheme="majorBidi" w:cstheme="majorBidi"/>
          <w:sz w:val="24"/>
          <w:szCs w:val="24"/>
        </w:rPr>
        <w:t xml:space="preserve"> were correlated (ICC average measure = 0.675; p-value &lt;0.001)</w:t>
      </w:r>
      <w:r>
        <w:rPr>
          <w:rFonts w:asciiTheme="majorBidi" w:hAnsiTheme="majorBidi" w:cstheme="majorBidi"/>
          <w:sz w:val="24"/>
          <w:szCs w:val="24"/>
        </w:rPr>
        <w:t>, however better</w:t>
      </w:r>
      <w:r w:rsidRPr="00A039CF">
        <w:rPr>
          <w:rFonts w:asciiTheme="majorBidi" w:hAnsiTheme="majorBidi" w:cstheme="majorBidi"/>
          <w:sz w:val="24"/>
          <w:szCs w:val="24"/>
        </w:rPr>
        <w:t xml:space="preserve"> predictive value</w:t>
      </w:r>
      <w:r>
        <w:rPr>
          <w:rFonts w:asciiTheme="majorBidi" w:hAnsiTheme="majorBidi" w:cstheme="majorBidi"/>
          <w:sz w:val="24"/>
          <w:szCs w:val="24"/>
        </w:rPr>
        <w:t xml:space="preserve"> was</w:t>
      </w:r>
      <w:r w:rsidRPr="00A039CF">
        <w:rPr>
          <w:rFonts w:asciiTheme="majorBidi" w:hAnsiTheme="majorBidi" w:cstheme="majorBidi"/>
          <w:sz w:val="24"/>
          <w:szCs w:val="24"/>
        </w:rPr>
        <w:t xml:space="preserve"> measured by the area under the ROC curve</w:t>
      </w:r>
      <w:r w:rsidR="006E5458">
        <w:rPr>
          <w:rFonts w:asciiTheme="majorBidi" w:hAnsiTheme="majorBidi" w:cstheme="majorBidi"/>
          <w:sz w:val="24"/>
          <w:szCs w:val="24"/>
        </w:rPr>
        <w:t xml:space="preserve"> </w:t>
      </w:r>
      <w:r w:rsidR="003727A6">
        <w:rPr>
          <w:rFonts w:ascii="Times New Roman" w:eastAsia="Times New Roman" w:hAnsi="Times New Roman"/>
          <w:sz w:val="24"/>
          <w:szCs w:val="24"/>
        </w:rPr>
        <w:t xml:space="preserve">of DMAS-7 </w:t>
      </w:r>
      <w:r>
        <w:rPr>
          <w:rFonts w:ascii="Times New Roman" w:eastAsia="Times New Roman" w:hAnsi="Times New Roman"/>
          <w:sz w:val="24"/>
          <w:szCs w:val="24"/>
        </w:rPr>
        <w:t>compared to that</w:t>
      </w:r>
      <w:r w:rsidRPr="00014BC7">
        <w:rPr>
          <w:rFonts w:ascii="Times New Roman" w:eastAsia="Times New Roman" w:hAnsi="Times New Roman"/>
          <w:sz w:val="24"/>
          <w:szCs w:val="24"/>
        </w:rPr>
        <w:t xml:space="preserve"> </w:t>
      </w:r>
      <w:r w:rsidRPr="000148DD">
        <w:rPr>
          <w:rFonts w:asciiTheme="majorBidi" w:hAnsiTheme="majorBidi" w:cstheme="majorBidi"/>
          <w:sz w:val="24"/>
          <w:szCs w:val="24"/>
        </w:rPr>
        <w:t>of LMAS-14</w:t>
      </w:r>
      <w:r w:rsidR="00406E83" w:rsidRPr="000148DD">
        <w:rPr>
          <w:rFonts w:asciiTheme="majorBidi" w:hAnsiTheme="majorBidi" w:cstheme="majorBidi"/>
          <w:sz w:val="24"/>
          <w:szCs w:val="24"/>
        </w:rPr>
        <w:t xml:space="preserve"> (</w:t>
      </w:r>
      <w:r w:rsidR="000148DD" w:rsidRPr="000148DD">
        <w:rPr>
          <w:rFonts w:asciiTheme="majorBidi" w:hAnsiTheme="majorBidi" w:cstheme="majorBidi"/>
          <w:sz w:val="24"/>
          <w:szCs w:val="24"/>
        </w:rPr>
        <w:t xml:space="preserve">0.675 vs. 0.648 </w:t>
      </w:r>
      <w:r w:rsidR="000148DD" w:rsidRPr="00A039CF">
        <w:rPr>
          <w:rFonts w:asciiTheme="majorBidi" w:hAnsiTheme="majorBidi" w:cstheme="majorBidi"/>
          <w:sz w:val="24"/>
          <w:szCs w:val="24"/>
        </w:rPr>
        <w:t>p-value &lt;0.001</w:t>
      </w:r>
      <w:r w:rsidR="000148DD">
        <w:rPr>
          <w:rFonts w:asciiTheme="majorBidi" w:hAnsiTheme="majorBidi" w:cstheme="majorBidi"/>
          <w:sz w:val="24"/>
          <w:szCs w:val="24"/>
        </w:rPr>
        <w:t>).</w:t>
      </w:r>
      <w:r w:rsidRPr="000148D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This showed a good concordance, increased</w:t>
      </w:r>
      <w:r w:rsidRPr="00A039CF">
        <w:rPr>
          <w:rFonts w:asciiTheme="majorBidi" w:hAnsiTheme="majorBidi" w:cstheme="majorBidi"/>
          <w:sz w:val="24"/>
          <w:szCs w:val="24"/>
        </w:rPr>
        <w:t xml:space="preserve"> validity of the DMAS</w:t>
      </w:r>
      <w:r>
        <w:rPr>
          <w:rFonts w:asciiTheme="majorBidi" w:hAnsiTheme="majorBidi" w:cstheme="majorBidi"/>
          <w:sz w:val="24"/>
          <w:szCs w:val="24"/>
        </w:rPr>
        <w:t xml:space="preserve">-7 and </w:t>
      </w:r>
      <w:r w:rsidRPr="00014BC7">
        <w:rPr>
          <w:rFonts w:ascii="Times New Roman" w:eastAsia="Times New Roman" w:hAnsi="Times New Roman"/>
          <w:sz w:val="24"/>
          <w:szCs w:val="24"/>
        </w:rPr>
        <w:t>its superiority in predicting adherence levels</w:t>
      </w:r>
      <w:r>
        <w:rPr>
          <w:rFonts w:ascii="Times New Roman" w:eastAsia="Times New Roman" w:hAnsi="Times New Roman"/>
          <w:sz w:val="24"/>
          <w:szCs w:val="24"/>
        </w:rPr>
        <w:t xml:space="preserve"> with respect to LMAS-14.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</w:p>
    <w:p w:rsidR="00124E8F" w:rsidRPr="000148DD" w:rsidRDefault="00124E8F" w:rsidP="00124E8F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A039CF">
        <w:rPr>
          <w:rFonts w:asciiTheme="majorBidi" w:hAnsiTheme="majorBidi" w:cstheme="majorBidi"/>
          <w:b/>
          <w:sz w:val="24"/>
          <w:szCs w:val="24"/>
        </w:rPr>
        <w:lastRenderedPageBreak/>
        <w:t>Conclusion:</w:t>
      </w:r>
      <w:r w:rsidRPr="00A039CF">
        <w:rPr>
          <w:rFonts w:asciiTheme="majorBidi" w:hAnsiTheme="majorBidi" w:cstheme="majorBidi"/>
          <w:sz w:val="24"/>
          <w:szCs w:val="24"/>
        </w:rPr>
        <w:t xml:space="preserve"> The DMAS</w:t>
      </w:r>
      <w:r>
        <w:rPr>
          <w:rFonts w:asciiTheme="majorBidi" w:hAnsiTheme="majorBidi" w:cstheme="majorBidi"/>
          <w:sz w:val="24"/>
          <w:szCs w:val="24"/>
        </w:rPr>
        <w:t>-7 showed to be</w:t>
      </w:r>
      <w:r w:rsidRPr="00A039CF">
        <w:rPr>
          <w:rFonts w:asciiTheme="majorBidi" w:hAnsiTheme="majorBidi" w:cstheme="majorBidi"/>
          <w:sz w:val="24"/>
          <w:szCs w:val="24"/>
        </w:rPr>
        <w:t xml:space="preserve"> reliable and valid instrument </w:t>
      </w:r>
      <w:r>
        <w:rPr>
          <w:rFonts w:ascii="Times New Roman" w:eastAsia="Times New Roman" w:hAnsi="Times New Roman"/>
          <w:sz w:val="24"/>
          <w:szCs w:val="24"/>
        </w:rPr>
        <w:t>superior to LMAS-14 in</w:t>
      </w:r>
      <w:r w:rsidRPr="00014BC7">
        <w:rPr>
          <w:rFonts w:ascii="Times New Roman" w:eastAsia="Times New Roman" w:hAnsi="Times New Roman"/>
          <w:sz w:val="24"/>
          <w:szCs w:val="24"/>
        </w:rPr>
        <w:t xml:space="preserve"> predicting adherence levels</w:t>
      </w:r>
      <w:r w:rsidRPr="00A039CF">
        <w:rPr>
          <w:rFonts w:asciiTheme="majorBidi" w:hAnsiTheme="majorBidi" w:cstheme="majorBidi"/>
          <w:sz w:val="24"/>
          <w:szCs w:val="24"/>
        </w:rPr>
        <w:t xml:space="preserve"> to</w:t>
      </w:r>
      <w:r>
        <w:rPr>
          <w:rFonts w:asciiTheme="majorBidi" w:hAnsiTheme="majorBidi" w:cstheme="majorBidi"/>
          <w:sz w:val="24"/>
          <w:szCs w:val="24"/>
        </w:rPr>
        <w:t xml:space="preserve"> antidiabetic</w:t>
      </w:r>
      <w:r w:rsidRPr="00A039CF">
        <w:rPr>
          <w:rFonts w:asciiTheme="majorBidi" w:hAnsiTheme="majorBidi" w:cstheme="majorBidi"/>
          <w:sz w:val="24"/>
          <w:szCs w:val="24"/>
        </w:rPr>
        <w:t xml:space="preserve"> medications</w:t>
      </w:r>
      <w:r>
        <w:rPr>
          <w:rFonts w:asciiTheme="majorBidi" w:hAnsiTheme="majorBidi" w:cstheme="majorBidi"/>
          <w:sz w:val="24"/>
          <w:szCs w:val="24"/>
        </w:rPr>
        <w:t>,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thus can be used to </w:t>
      </w:r>
      <w:r w:rsidRPr="00A039CF">
        <w:rPr>
          <w:rFonts w:asciiTheme="majorBidi" w:hAnsiTheme="majorBidi" w:cstheme="majorBidi"/>
          <w:sz w:val="24"/>
          <w:szCs w:val="24"/>
        </w:rPr>
        <w:t xml:space="preserve">achieve better glycemic </w:t>
      </w:r>
      <w:r w:rsidRPr="000148DD">
        <w:rPr>
          <w:rFonts w:ascii="Times New Roman" w:eastAsia="Times New Roman" w:hAnsi="Times New Roman"/>
          <w:sz w:val="24"/>
          <w:szCs w:val="24"/>
        </w:rPr>
        <w:t>outcomes</w:t>
      </w:r>
      <w:r w:rsidR="006E5458" w:rsidRPr="000148DD">
        <w:rPr>
          <w:rFonts w:ascii="Times New Roman" w:eastAsia="Times New Roman" w:hAnsi="Times New Roman"/>
          <w:sz w:val="24"/>
          <w:szCs w:val="24"/>
        </w:rPr>
        <w:t xml:space="preserve"> in clinical practice</w:t>
      </w:r>
      <w:r w:rsidRPr="000148DD">
        <w:rPr>
          <w:rFonts w:ascii="Times New Roman" w:eastAsia="Times New Roman" w:hAnsi="Times New Roman"/>
          <w:sz w:val="24"/>
          <w:szCs w:val="24"/>
        </w:rPr>
        <w:t>.</w:t>
      </w:r>
    </w:p>
    <w:p w:rsidR="006E5458" w:rsidRDefault="006E5458" w:rsidP="00FF7FBB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124E8F" w:rsidRPr="00124E8F" w:rsidRDefault="00124E8F" w:rsidP="00FB051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A039CF">
        <w:rPr>
          <w:rFonts w:asciiTheme="majorBidi" w:hAnsiTheme="majorBidi" w:cstheme="majorBidi"/>
          <w:b/>
          <w:sz w:val="24"/>
          <w:szCs w:val="24"/>
        </w:rPr>
        <w:t>Keywords:</w:t>
      </w:r>
      <w:r w:rsidRPr="00A039CF">
        <w:rPr>
          <w:rFonts w:asciiTheme="majorBidi" w:hAnsiTheme="majorBidi" w:cstheme="majorBidi"/>
          <w:sz w:val="24"/>
          <w:szCs w:val="24"/>
        </w:rPr>
        <w:t xml:space="preserve"> Type 2 diabetes; Adherence; Oral anti-diabetics; Validation; glycemic control; DMAS</w:t>
      </w:r>
      <w:r>
        <w:rPr>
          <w:rFonts w:asciiTheme="majorBidi" w:hAnsiTheme="majorBidi" w:cstheme="majorBidi"/>
          <w:sz w:val="24"/>
          <w:szCs w:val="24"/>
        </w:rPr>
        <w:t>-7.</w:t>
      </w:r>
    </w:p>
    <w:sectPr w:rsidR="00124E8F" w:rsidRPr="0012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70"/>
    <w:rsid w:val="00005FFB"/>
    <w:rsid w:val="000148DD"/>
    <w:rsid w:val="000206C4"/>
    <w:rsid w:val="00030D35"/>
    <w:rsid w:val="000645B9"/>
    <w:rsid w:val="000A56F5"/>
    <w:rsid w:val="000B5C68"/>
    <w:rsid w:val="000D0B0D"/>
    <w:rsid w:val="000E02E7"/>
    <w:rsid w:val="000E3928"/>
    <w:rsid w:val="0011642C"/>
    <w:rsid w:val="00124E8F"/>
    <w:rsid w:val="001279B1"/>
    <w:rsid w:val="001A58D9"/>
    <w:rsid w:val="00210B77"/>
    <w:rsid w:val="00290002"/>
    <w:rsid w:val="00295A3C"/>
    <w:rsid w:val="002963F8"/>
    <w:rsid w:val="002B0A03"/>
    <w:rsid w:val="002C4619"/>
    <w:rsid w:val="002F2F29"/>
    <w:rsid w:val="0034198E"/>
    <w:rsid w:val="00344CCA"/>
    <w:rsid w:val="0037023F"/>
    <w:rsid w:val="003727A6"/>
    <w:rsid w:val="003A518A"/>
    <w:rsid w:val="003D46CB"/>
    <w:rsid w:val="00406E83"/>
    <w:rsid w:val="00441CD8"/>
    <w:rsid w:val="00483D36"/>
    <w:rsid w:val="004D16E7"/>
    <w:rsid w:val="004D5F5D"/>
    <w:rsid w:val="004F0FE3"/>
    <w:rsid w:val="004F17A6"/>
    <w:rsid w:val="004F7112"/>
    <w:rsid w:val="005222B1"/>
    <w:rsid w:val="005934B9"/>
    <w:rsid w:val="005C00E1"/>
    <w:rsid w:val="005E3BAA"/>
    <w:rsid w:val="005E69E7"/>
    <w:rsid w:val="0060569E"/>
    <w:rsid w:val="00640D1E"/>
    <w:rsid w:val="006442E7"/>
    <w:rsid w:val="006475C5"/>
    <w:rsid w:val="00652F7A"/>
    <w:rsid w:val="00654EB8"/>
    <w:rsid w:val="00682CE3"/>
    <w:rsid w:val="006D66FA"/>
    <w:rsid w:val="006E1FA1"/>
    <w:rsid w:val="006E2C57"/>
    <w:rsid w:val="006E5458"/>
    <w:rsid w:val="006F567E"/>
    <w:rsid w:val="00706E0E"/>
    <w:rsid w:val="00727DD2"/>
    <w:rsid w:val="0074359D"/>
    <w:rsid w:val="00763D4B"/>
    <w:rsid w:val="00792599"/>
    <w:rsid w:val="0082332E"/>
    <w:rsid w:val="00884EE1"/>
    <w:rsid w:val="008B3D64"/>
    <w:rsid w:val="008C29D3"/>
    <w:rsid w:val="008C41EB"/>
    <w:rsid w:val="00916E11"/>
    <w:rsid w:val="009240EE"/>
    <w:rsid w:val="009538BD"/>
    <w:rsid w:val="00982CB5"/>
    <w:rsid w:val="0099667A"/>
    <w:rsid w:val="009C69BC"/>
    <w:rsid w:val="00A058A6"/>
    <w:rsid w:val="00A20587"/>
    <w:rsid w:val="00A211BF"/>
    <w:rsid w:val="00A21A14"/>
    <w:rsid w:val="00A317CF"/>
    <w:rsid w:val="00AB0814"/>
    <w:rsid w:val="00AB6818"/>
    <w:rsid w:val="00AF4AB7"/>
    <w:rsid w:val="00B024AA"/>
    <w:rsid w:val="00B109A8"/>
    <w:rsid w:val="00B176CC"/>
    <w:rsid w:val="00B348EB"/>
    <w:rsid w:val="00B57F96"/>
    <w:rsid w:val="00CB006A"/>
    <w:rsid w:val="00CE0519"/>
    <w:rsid w:val="00D05B30"/>
    <w:rsid w:val="00D2358A"/>
    <w:rsid w:val="00D32B32"/>
    <w:rsid w:val="00DA384D"/>
    <w:rsid w:val="00DA7B9A"/>
    <w:rsid w:val="00DB6FC7"/>
    <w:rsid w:val="00DC2CFB"/>
    <w:rsid w:val="00DC42E5"/>
    <w:rsid w:val="00DD1723"/>
    <w:rsid w:val="00DF6E9E"/>
    <w:rsid w:val="00E04AE1"/>
    <w:rsid w:val="00E0685D"/>
    <w:rsid w:val="00E359F5"/>
    <w:rsid w:val="00E95E19"/>
    <w:rsid w:val="00ED3FB6"/>
    <w:rsid w:val="00F03939"/>
    <w:rsid w:val="00F52551"/>
    <w:rsid w:val="00FB0511"/>
    <w:rsid w:val="00FB0A70"/>
    <w:rsid w:val="00FD6727"/>
    <w:rsid w:val="00FE60CB"/>
    <w:rsid w:val="00FE6E2D"/>
    <w:rsid w:val="00FF1C6B"/>
    <w:rsid w:val="00FF4E32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F3C1"/>
  <w15:docId w15:val="{BB091EB0-FC39-4ACF-AB54-1EBA224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5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525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zahraa</dc:creator>
  <cp:keywords/>
  <dc:description/>
  <cp:lastModifiedBy>Jana</cp:lastModifiedBy>
  <cp:revision>5</cp:revision>
  <dcterms:created xsi:type="dcterms:W3CDTF">2019-06-11T19:20:00Z</dcterms:created>
  <dcterms:modified xsi:type="dcterms:W3CDTF">2019-06-11T19:32:00Z</dcterms:modified>
</cp:coreProperties>
</file>