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09990" w14:textId="77777777" w:rsidR="006A4CE1" w:rsidRDefault="006A4CE1" w:rsidP="00425027">
      <w:pPr>
        <w:spacing w:after="480"/>
        <w:jc w:val="both"/>
        <w:rPr>
          <w:rFonts w:ascii="Times New Roman" w:eastAsiaTheme="minorHAnsi" w:hAnsi="Times New Roman"/>
          <w:b/>
          <w:bCs/>
          <w:lang w:val="en-IN"/>
        </w:rPr>
      </w:pPr>
    </w:p>
    <w:p w14:paraId="7600986E" w14:textId="53D9619F" w:rsidR="006A4CE1" w:rsidRPr="0040709F" w:rsidRDefault="0040709F" w:rsidP="0040709F">
      <w:pPr>
        <w:autoSpaceDE w:val="0"/>
        <w:autoSpaceDN w:val="0"/>
        <w:adjustRightInd w:val="0"/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</w:pPr>
      <w:r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>Title - Immunogenetic</w:t>
      </w:r>
      <w:r w:rsidR="006A4CE1" w:rsidRPr="006A4CE1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 xml:space="preserve"> </w:t>
      </w:r>
      <w:r w:rsidR="0063398B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>s</w:t>
      </w:r>
      <w:r w:rsidR="006A4CE1" w:rsidRPr="006A4CE1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 xml:space="preserve">tudy of Diabetes Mellitus in </w:t>
      </w:r>
      <w:r w:rsidR="0063398B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>r</w:t>
      </w:r>
      <w:r w:rsidR="006A4CE1" w:rsidRPr="006A4CE1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>elation to HLA</w:t>
      </w:r>
      <w:r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 xml:space="preserve"> </w:t>
      </w:r>
      <w:r w:rsidR="006A4CE1" w:rsidRPr="006A4CE1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>DQ</w:t>
      </w:r>
      <w:r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 xml:space="preserve"> </w:t>
      </w:r>
      <w:r w:rsidR="006A4CE1" w:rsidRPr="006A4CE1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>and DR</w:t>
      </w:r>
      <w:r w:rsidR="006A4CE1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 xml:space="preserve"> </w:t>
      </w:r>
      <w:r w:rsidR="0063398B">
        <w:rPr>
          <w:rFonts w:ascii="Times New Roman" w:eastAsia="Swiss721BT-BoldCondensed" w:hAnsi="Times New Roman"/>
          <w:b/>
          <w:bCs/>
          <w:sz w:val="28"/>
          <w:szCs w:val="28"/>
          <w:lang w:val="en-IN"/>
        </w:rPr>
        <w:t>and to find out the prevalence of anti-GAD and anti-islet antibody</w:t>
      </w:r>
    </w:p>
    <w:p w14:paraId="1C3AD2ED" w14:textId="77777777" w:rsidR="0040709F" w:rsidRDefault="0040709F" w:rsidP="00425027">
      <w:pPr>
        <w:spacing w:after="480"/>
        <w:jc w:val="both"/>
        <w:rPr>
          <w:rFonts w:ascii="Times New Roman" w:eastAsiaTheme="minorHAnsi" w:hAnsi="Times New Roman"/>
          <w:b/>
          <w:bCs/>
          <w:lang w:val="en-IN"/>
        </w:rPr>
      </w:pPr>
    </w:p>
    <w:p w14:paraId="3FD21409" w14:textId="77777777" w:rsidR="00A67B32" w:rsidRDefault="006A4CE1" w:rsidP="00425027">
      <w:pPr>
        <w:spacing w:after="480"/>
        <w:jc w:val="both"/>
        <w:rPr>
          <w:rFonts w:ascii="Times New Roman" w:eastAsiaTheme="minorHAnsi" w:hAnsi="Times New Roman"/>
          <w:b/>
          <w:bCs/>
          <w:lang w:val="en-IN"/>
        </w:rPr>
      </w:pPr>
      <w:r>
        <w:rPr>
          <w:rFonts w:ascii="Times New Roman" w:eastAsiaTheme="minorHAnsi" w:hAnsi="Times New Roman"/>
          <w:b/>
          <w:bCs/>
          <w:lang w:val="en-IN"/>
        </w:rPr>
        <w:t xml:space="preserve">Authors – </w:t>
      </w:r>
      <w:r w:rsidR="0040709F">
        <w:rPr>
          <w:rFonts w:ascii="Times New Roman" w:eastAsiaTheme="minorHAnsi" w:hAnsi="Times New Roman"/>
          <w:b/>
          <w:bCs/>
          <w:lang w:val="en-IN"/>
        </w:rPr>
        <w:t xml:space="preserve">1. </w:t>
      </w:r>
      <w:r>
        <w:rPr>
          <w:rFonts w:ascii="Times New Roman" w:eastAsiaTheme="minorHAnsi" w:hAnsi="Times New Roman"/>
          <w:b/>
          <w:bCs/>
          <w:lang w:val="en-IN"/>
        </w:rPr>
        <w:t>Dr Gyanendra Singh, MD Pathology, Government Institute of Medical Sciences, Greater Noida, India</w:t>
      </w:r>
      <w:r w:rsidR="00A67B32">
        <w:rPr>
          <w:rFonts w:ascii="Times New Roman" w:eastAsiaTheme="minorHAnsi" w:hAnsi="Times New Roman"/>
          <w:b/>
          <w:bCs/>
          <w:lang w:val="en-IN"/>
        </w:rPr>
        <w:t xml:space="preserve"> </w:t>
      </w:r>
    </w:p>
    <w:p w14:paraId="6B3609DE" w14:textId="55447F3C" w:rsidR="0040709F" w:rsidRDefault="0040709F" w:rsidP="00425027">
      <w:pPr>
        <w:spacing w:after="480"/>
        <w:jc w:val="both"/>
        <w:rPr>
          <w:rFonts w:ascii="Times New Roman" w:eastAsiaTheme="minorHAnsi" w:hAnsi="Times New Roman"/>
          <w:b/>
          <w:bCs/>
          <w:lang w:val="en-IN"/>
        </w:rPr>
      </w:pPr>
      <w:r>
        <w:rPr>
          <w:rFonts w:ascii="Times New Roman" w:eastAsiaTheme="minorHAnsi" w:hAnsi="Times New Roman"/>
          <w:b/>
          <w:bCs/>
          <w:lang w:val="en-IN"/>
        </w:rPr>
        <w:t>2. Prof Usha, MD, Department of Pathology, Institute of medical sciences, BHU, Varanasi, India</w:t>
      </w:r>
    </w:p>
    <w:p w14:paraId="05EC6DDF" w14:textId="77777777" w:rsidR="0040709F" w:rsidRDefault="00425027" w:rsidP="0082309B">
      <w:pPr>
        <w:spacing w:after="480"/>
        <w:jc w:val="both"/>
        <w:rPr>
          <w:rFonts w:ascii="Times New Roman" w:eastAsiaTheme="minorHAnsi" w:hAnsi="Times New Roman"/>
          <w:b/>
          <w:bCs/>
          <w:lang w:val="en-IN"/>
        </w:rPr>
      </w:pPr>
      <w:r>
        <w:rPr>
          <w:rFonts w:ascii="Times New Roman" w:eastAsiaTheme="minorHAnsi" w:hAnsi="Times New Roman"/>
          <w:b/>
          <w:bCs/>
          <w:lang w:val="en-IN"/>
        </w:rPr>
        <w:t>ABSTRACT</w:t>
      </w:r>
    </w:p>
    <w:p w14:paraId="0B1CB41B" w14:textId="4B1A16D8" w:rsidR="007D4343" w:rsidRPr="006C322D" w:rsidRDefault="00425027" w:rsidP="006C322D">
      <w:pPr>
        <w:spacing w:after="480"/>
        <w:jc w:val="both"/>
        <w:rPr>
          <w:rFonts w:ascii="Times New Roman" w:eastAsiaTheme="minorHAnsi" w:hAnsi="Times New Roman"/>
          <w:b/>
          <w:bCs/>
          <w:lang w:val="en-IN"/>
        </w:rPr>
      </w:pPr>
      <w:r w:rsidRPr="00425027">
        <w:rPr>
          <w:rFonts w:ascii="Times New Roman" w:eastAsiaTheme="minorHAnsi" w:hAnsi="Times New Roman"/>
          <w:b/>
          <w:bCs/>
          <w:lang w:val="en-IN"/>
        </w:rPr>
        <w:t>Introduction:</w:t>
      </w:r>
      <w:r w:rsidR="004E588E">
        <w:rPr>
          <w:rFonts w:ascii="Times New Roman" w:eastAsiaTheme="minorHAnsi" w:hAnsi="Times New Roman"/>
          <w:b/>
          <w:bCs/>
          <w:lang w:val="en-I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In India, early onset diabetes</w:t>
      </w:r>
      <w:r w:rsidR="00CA236D">
        <w:rPr>
          <w:rFonts w:ascii="Times New Roman" w:eastAsia="TimesNewRomanPSMT" w:hAnsi="Times New Roman"/>
          <w:lang w:val="en-I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constitutes about 1%–4% of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the total diabetic population. The insulitis a</w:t>
      </w:r>
      <w:r w:rsidR="00527EE3">
        <w:rPr>
          <w:rFonts w:ascii="Times New Roman" w:eastAsia="TimesNewRomanPSMT" w:hAnsi="Times New Roman"/>
          <w:lang w:val="en-IN"/>
        </w:rPr>
        <w:t xml:space="preserve">s well as </w:t>
      </w:r>
      <w:r w:rsidRPr="00425027">
        <w:rPr>
          <w:rFonts w:ascii="Times New Roman" w:eastAsia="TimesNewRomanPSMT" w:hAnsi="Times New Roman"/>
          <w:lang w:val="en-IN"/>
        </w:rPr>
        <w:t>humoral B</w:t>
      </w:r>
      <w:r w:rsidR="005813AA">
        <w:rPr>
          <w:rFonts w:ascii="Times New Roman" w:eastAsia="TimesNewRomanPSMT" w:hAnsi="Times New Roman"/>
          <w:lang w:val="en-IN"/>
        </w:rPr>
        <w:t>-</w:t>
      </w:r>
      <w:r w:rsidRPr="00425027">
        <w:rPr>
          <w:rFonts w:ascii="Times New Roman" w:eastAsia="TimesNewRomanPSMT" w:hAnsi="Times New Roman"/>
          <w:lang w:val="en-IN"/>
        </w:rPr>
        <w:t>cell response with</w:t>
      </w:r>
      <w:r w:rsidR="004E588E">
        <w:rPr>
          <w:rFonts w:ascii="Times New Roman" w:eastAsia="TimesNewRomanPSMT" w:hAnsi="Times New Roman"/>
          <w:lang w:val="en-I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production of antibodies to IAA, GAD and the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protein tyrosine phosphatase IA2 is the main pathogenesis of T1DM.</w:t>
      </w:r>
      <w:r w:rsidR="00CC0E81">
        <w:rPr>
          <w:rFonts w:ascii="Times New Roman" w:eastAsia="TimesNewRomanPSMT" w:hAnsi="Times New Roman"/>
          <w:lang w:val="en-I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HLA</w:t>
      </w:r>
      <w:r w:rsidR="00CC0E81">
        <w:rPr>
          <w:rFonts w:ascii="Times New Roman" w:eastAsia="TimesNewRomanPSMT" w:hAnsi="Times New Roman"/>
          <w:lang w:val="en-IN"/>
        </w:rPr>
        <w:t>-</w:t>
      </w:r>
      <w:r w:rsidRPr="00425027">
        <w:rPr>
          <w:rFonts w:ascii="Times New Roman" w:eastAsia="TimesNewRomanPSMT" w:hAnsi="Times New Roman"/>
          <w:lang w:val="en-IN"/>
        </w:rPr>
        <w:t>DR and DQ contributes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approximately 40%–50% of the inherited susceptibility for T1DM and most frequently involved haplotypes are DRB1*0301‑DQB1*0201,</w:t>
      </w:r>
      <w:r w:rsidR="004E588E">
        <w:rPr>
          <w:rFonts w:ascii="Times New Roman" w:eastAsia="TimesNewRomanPSMT" w:hAnsi="Times New Roman"/>
          <w:lang w:val="en-I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DRB1*0301‑DQA1*050</w:t>
      </w:r>
      <w:r w:rsidR="00CA236D">
        <w:rPr>
          <w:rFonts w:ascii="Times New Roman" w:eastAsia="TimesNewRomanPSMT" w:hAnsi="Times New Roman"/>
          <w:lang w:val="en-IN"/>
        </w:rPr>
        <w:t>1.</w:t>
      </w:r>
      <w:r w:rsidR="006C322D">
        <w:rPr>
          <w:rFonts w:ascii="Times New Roman" w:eastAsiaTheme="minorHAnsi" w:hAnsi="Times New Roman"/>
          <w:b/>
          <w:bCs/>
          <w:lang w:val="en-IN"/>
        </w:rPr>
        <w:t xml:space="preserve"> </w:t>
      </w:r>
      <w:r w:rsidRPr="00425027">
        <w:rPr>
          <w:rFonts w:ascii="Times New Roman" w:eastAsiaTheme="minorHAnsi" w:hAnsi="Times New Roman"/>
          <w:b/>
          <w:bCs/>
          <w:lang w:val="en-IN"/>
        </w:rPr>
        <w:t xml:space="preserve">Method and Material: </w:t>
      </w:r>
      <w:r w:rsidRPr="00425027">
        <w:rPr>
          <w:rFonts w:ascii="Times New Roman" w:eastAsia="TimesNewRomanPSMT" w:hAnsi="Times New Roman"/>
          <w:lang w:val="en-IN"/>
        </w:rPr>
        <w:t>T</w:t>
      </w:r>
      <w:r w:rsidR="00CC0E81">
        <w:rPr>
          <w:rFonts w:ascii="Times New Roman" w:eastAsia="TimesNewRomanPSMT" w:hAnsi="Times New Roman"/>
          <w:lang w:val="en-IN"/>
        </w:rPr>
        <w:t xml:space="preserve">he study included </w:t>
      </w:r>
      <w:r w:rsidRPr="00425027">
        <w:rPr>
          <w:rFonts w:ascii="Times New Roman" w:eastAsia="TimesNewRomanPSMT" w:hAnsi="Times New Roman"/>
          <w:lang w:val="en-IN"/>
        </w:rPr>
        <w:t>70 cases of DM</w:t>
      </w:r>
      <w:r w:rsidR="00CA236D">
        <w:rPr>
          <w:rFonts w:ascii="Times New Roman" w:eastAsia="TimesNewRomanPSMT" w:hAnsi="Times New Roman"/>
          <w:lang w:val="en-IN"/>
        </w:rPr>
        <w:t xml:space="preserve">, </w:t>
      </w:r>
      <w:r w:rsidRPr="00425027">
        <w:rPr>
          <w:rFonts w:ascii="Times New Roman" w:eastAsia="TimesNewRomanPSMT" w:hAnsi="Times New Roman"/>
          <w:lang w:val="en-IN"/>
        </w:rPr>
        <w:t>25 healthy controls</w:t>
      </w:r>
      <w:r w:rsidR="004E588E">
        <w:rPr>
          <w:rFonts w:ascii="Times New Roman" w:eastAsia="TimesNewRomanPSMT" w:hAnsi="Times New Roman"/>
          <w:lang w:val="en-IN"/>
        </w:rPr>
        <w:t xml:space="preserve"> and 30 cases of complicated DM</w:t>
      </w:r>
      <w:r w:rsidRPr="00425027">
        <w:rPr>
          <w:rFonts w:ascii="Times New Roman" w:eastAsia="TimesNewRomanPSMT" w:hAnsi="Times New Roman"/>
          <w:lang w:val="en-IN"/>
        </w:rPr>
        <w:t>. HLA</w:t>
      </w:r>
      <w:r w:rsidR="004E588E">
        <w:rPr>
          <w:rFonts w:ascii="Times New Roman" w:eastAsia="TimesNewRomanPSMT" w:hAnsi="Times New Roman"/>
          <w:lang w:val="en-IN"/>
        </w:rPr>
        <w:t xml:space="preserve">- </w:t>
      </w:r>
      <w:r w:rsidRPr="00425027">
        <w:rPr>
          <w:rFonts w:ascii="Times New Roman" w:eastAsia="TimesNewRomanPSMT" w:hAnsi="Times New Roman"/>
          <w:lang w:val="en-IN"/>
        </w:rPr>
        <w:t>DQB1 and DRB1 were done by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sequence speci</w:t>
      </w:r>
      <w:r w:rsidR="00F102AF">
        <w:rPr>
          <w:rFonts w:ascii="Times New Roman" w:eastAsia="TimesNewRomanPSMT" w:hAnsi="Times New Roman"/>
          <w:lang w:val="en-IN"/>
        </w:rPr>
        <w:t xml:space="preserve">fic PCR </w:t>
      </w:r>
      <w:r w:rsidRPr="00425027">
        <w:rPr>
          <w:rFonts w:ascii="Times New Roman" w:eastAsia="TimesNewRomanPSMT" w:hAnsi="Times New Roman"/>
          <w:lang w:val="en-IN"/>
        </w:rPr>
        <w:t>method. Indirect immunofluorescent test was used for anti‑GAD antibody. Statistical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 xml:space="preserve">analysis </w:t>
      </w:r>
      <w:r w:rsidR="00CA236D">
        <w:rPr>
          <w:rFonts w:ascii="Times New Roman" w:eastAsia="TimesNewRomanPSMT" w:hAnsi="Times New Roman"/>
          <w:lang w:val="en-IN"/>
        </w:rPr>
        <w:t xml:space="preserve">done by </w:t>
      </w:r>
      <w:r w:rsidRPr="00425027">
        <w:rPr>
          <w:rFonts w:ascii="Times New Roman" w:eastAsia="TimesNewRomanPSMT" w:hAnsi="Times New Roman"/>
          <w:lang w:val="en-IN"/>
        </w:rPr>
        <w:t xml:space="preserve">SPSS version‑16. </w:t>
      </w:r>
      <w:r w:rsidRPr="00425027">
        <w:rPr>
          <w:rFonts w:ascii="Times New Roman" w:eastAsiaTheme="minorHAnsi" w:hAnsi="Times New Roman"/>
          <w:b/>
          <w:bCs/>
          <w:lang w:val="en-IN"/>
        </w:rPr>
        <w:t xml:space="preserve">Results: </w:t>
      </w:r>
      <w:r w:rsidRPr="00425027">
        <w:rPr>
          <w:rFonts w:ascii="Times New Roman" w:eastAsia="TimesNewRomanPSMT" w:hAnsi="Times New Roman"/>
          <w:lang w:val="en-IN"/>
        </w:rPr>
        <w:t>HLA DRB1*03010 were significantly more in diabetic patient (</w:t>
      </w:r>
      <w:r w:rsidRPr="00425027">
        <w:rPr>
          <w:rFonts w:ascii="Times New Roman" w:eastAsiaTheme="minorHAnsi" w:hAnsi="Times New Roman"/>
          <w:i/>
          <w:iCs/>
          <w:lang w:val="en-IN"/>
        </w:rPr>
        <w:t xml:space="preserve">P </w:t>
      </w:r>
      <w:r w:rsidRPr="00425027">
        <w:rPr>
          <w:rFonts w:ascii="Times New Roman" w:eastAsia="TimesNewRomanPSMT" w:hAnsi="Times New Roman"/>
          <w:lang w:val="en-IN"/>
        </w:rPr>
        <w:t>&lt; 0.011)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 xml:space="preserve">as compared to control. DRB1*O403/6 </w:t>
      </w:r>
      <w:r w:rsidR="00592D4C">
        <w:rPr>
          <w:rFonts w:ascii="Times New Roman" w:eastAsia="TimesNewRomanPSMT" w:hAnsi="Times New Roman"/>
          <w:lang w:val="en-IN"/>
        </w:rPr>
        <w:t xml:space="preserve">and </w:t>
      </w:r>
      <w:r w:rsidR="00592D4C" w:rsidRPr="00425027">
        <w:rPr>
          <w:rFonts w:ascii="Times New Roman" w:eastAsia="TimesNewRomanPSMT" w:hAnsi="Times New Roman"/>
          <w:lang w:val="en-IN"/>
        </w:rPr>
        <w:t xml:space="preserve">DQB1*0201 </w:t>
      </w:r>
      <w:r w:rsidR="00592D4C">
        <w:rPr>
          <w:rFonts w:ascii="Times New Roman" w:eastAsia="TimesNewRomanPSMT" w:hAnsi="Times New Roman"/>
          <w:lang w:val="en-IN"/>
        </w:rPr>
        <w:t xml:space="preserve">(p value &lt;0.004) </w:t>
      </w:r>
      <w:r w:rsidRPr="00425027">
        <w:rPr>
          <w:rFonts w:ascii="Times New Roman" w:eastAsia="TimesNewRomanPSMT" w:hAnsi="Times New Roman"/>
          <w:lang w:val="en-IN"/>
        </w:rPr>
        <w:t xml:space="preserve">was significantly high in DM patient as compared to control with a relative risk of </w:t>
      </w:r>
      <w:r w:rsidR="00592D4C">
        <w:rPr>
          <w:rFonts w:ascii="Times New Roman" w:eastAsia="TimesNewRomanPSMT" w:hAnsi="Times New Roman"/>
          <w:lang w:val="en-IN"/>
        </w:rPr>
        <w:t xml:space="preserve">1.08 and </w:t>
      </w:r>
      <w:r w:rsidRPr="00425027">
        <w:rPr>
          <w:rFonts w:ascii="Times New Roman" w:eastAsia="TimesNewRomanPSMT" w:hAnsi="Times New Roman"/>
          <w:lang w:val="en-IN"/>
        </w:rPr>
        <w:t>1.68</w:t>
      </w:r>
      <w:r w:rsidR="00592D4C">
        <w:rPr>
          <w:rFonts w:ascii="Times New Roman" w:eastAsia="TimesNewRomanPSMT" w:hAnsi="Times New Roman"/>
          <w:lang w:val="en-IN"/>
        </w:rPr>
        <w:t xml:space="preserve"> respectively</w:t>
      </w:r>
      <w:r w:rsidRPr="00425027">
        <w:rPr>
          <w:rFonts w:ascii="Times New Roman" w:eastAsia="TimesNewRomanPSMT" w:hAnsi="Times New Roman"/>
          <w:lang w:val="en-IN"/>
        </w:rPr>
        <w:t>.</w:t>
      </w:r>
      <w:r w:rsidR="00592D4C">
        <w:rPr>
          <w:rFonts w:ascii="Times New Roman" w:eastAsia="TimesNewRomanPSMT" w:hAnsi="Times New Roman"/>
          <w:lang w:val="en-IN"/>
        </w:rPr>
        <w:t xml:space="preserve"> I</w:t>
      </w:r>
      <w:r w:rsidRPr="00425027">
        <w:rPr>
          <w:rFonts w:ascii="Times New Roman" w:eastAsia="TimesNewRomanPSMT" w:hAnsi="Times New Roman"/>
          <w:lang w:val="en-IN"/>
        </w:rPr>
        <w:t>n type‑I DM, DRB1*03010 was significantly high (</w:t>
      </w:r>
      <w:r w:rsidRPr="00425027">
        <w:rPr>
          <w:rFonts w:ascii="Times New Roman" w:eastAsiaTheme="minorHAnsi" w:hAnsi="Times New Roman"/>
          <w:i/>
          <w:iCs/>
          <w:lang w:val="en-IN"/>
        </w:rPr>
        <w:t xml:space="preserve">P </w:t>
      </w:r>
      <w:r w:rsidRPr="00425027">
        <w:rPr>
          <w:rFonts w:ascii="Times New Roman" w:eastAsia="TimesNewRomanPSMT" w:hAnsi="Times New Roman"/>
          <w:lang w:val="en-IN"/>
        </w:rPr>
        <w:t>= 0.009) with a relative risk of 2.78 as compared type‑II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 xml:space="preserve">DM. In DQ typing, DQB1*0201 was significantly high in type‑I DM in comparison to type‑II DM (65% vs. 30%, </w:t>
      </w:r>
      <w:r w:rsidRPr="00425027">
        <w:rPr>
          <w:rFonts w:ascii="Times New Roman" w:eastAsiaTheme="minorHAnsi" w:hAnsi="Times New Roman"/>
          <w:i/>
          <w:iCs/>
          <w:lang w:val="en-IN"/>
        </w:rPr>
        <w:t xml:space="preserve">P </w:t>
      </w:r>
      <w:r w:rsidRPr="00425027">
        <w:rPr>
          <w:rFonts w:ascii="Times New Roman" w:eastAsia="TimesNewRomanPSMT" w:hAnsi="Times New Roman"/>
          <w:lang w:val="en-IN"/>
        </w:rPr>
        <w:t>= 0.026, RR = 2.05).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DQB1*0201 was significantly high in type‑I DM as compared to healthy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control (</w:t>
      </w:r>
      <w:r w:rsidRPr="00425027">
        <w:rPr>
          <w:rFonts w:ascii="Times New Roman" w:eastAsiaTheme="minorHAnsi" w:hAnsi="Times New Roman"/>
          <w:i/>
          <w:iCs/>
          <w:lang w:val="en-IN"/>
        </w:rPr>
        <w:t xml:space="preserve">P </w:t>
      </w:r>
      <w:r w:rsidRPr="00425027">
        <w:rPr>
          <w:rFonts w:ascii="Times New Roman" w:eastAsia="TimesNewRomanPSMT" w:hAnsi="Times New Roman"/>
          <w:lang w:val="en-IN"/>
        </w:rPr>
        <w:t>= 0.0003, RR = 3.09). In type‑I DM patient’s homozygosity at DRB1*03010, DRB1*03010 was significantly high as compared to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the control (</w:t>
      </w:r>
      <w:r w:rsidRPr="00425027">
        <w:rPr>
          <w:rFonts w:ascii="Times New Roman" w:eastAsiaTheme="minorHAnsi" w:hAnsi="Times New Roman"/>
          <w:i/>
          <w:iCs/>
          <w:lang w:val="en-IN"/>
        </w:rPr>
        <w:t xml:space="preserve">P </w:t>
      </w:r>
      <w:r w:rsidRPr="00425027">
        <w:rPr>
          <w:rFonts w:ascii="Times New Roman" w:eastAsia="TimesNewRomanPSMT" w:hAnsi="Times New Roman"/>
          <w:lang w:val="en-IN"/>
        </w:rPr>
        <w:t xml:space="preserve">&lt; 0.047, RR = 2.33). </w:t>
      </w:r>
      <w:r w:rsidR="00CC0E81" w:rsidRPr="00425027">
        <w:rPr>
          <w:rFonts w:ascii="Times New Roman" w:eastAsia="TimesNewRomanPSMT" w:hAnsi="Times New Roman"/>
          <w:lang w:val="en-IN"/>
        </w:rPr>
        <w:t xml:space="preserve">DRB1*03010 </w:t>
      </w:r>
      <w:r w:rsidR="00CC0E81">
        <w:rPr>
          <w:rFonts w:ascii="Times New Roman" w:eastAsia="TimesNewRomanPSMT" w:hAnsi="Times New Roman"/>
          <w:lang w:val="en-IN"/>
        </w:rPr>
        <w:t xml:space="preserve">was </w:t>
      </w:r>
      <w:r w:rsidR="00CC0E81" w:rsidRPr="00425027">
        <w:rPr>
          <w:rFonts w:ascii="Times New Roman" w:eastAsia="TimesNewRomanPSMT" w:hAnsi="Times New Roman"/>
          <w:lang w:val="en-IN"/>
        </w:rPr>
        <w:t xml:space="preserve">positive </w:t>
      </w:r>
      <w:r w:rsidR="00CC0E81">
        <w:rPr>
          <w:rFonts w:ascii="Times New Roman" w:eastAsia="TimesNewRomanPSMT" w:hAnsi="Times New Roman"/>
          <w:lang w:val="en-IN"/>
        </w:rPr>
        <w:t xml:space="preserve">in </w:t>
      </w:r>
      <w:r w:rsidRPr="00425027">
        <w:rPr>
          <w:rFonts w:ascii="Times New Roman" w:eastAsia="TimesNewRomanPSMT" w:hAnsi="Times New Roman"/>
          <w:lang w:val="en-IN"/>
        </w:rPr>
        <w:t>77.7% anti‑GAD antibody positive</w:t>
      </w:r>
      <w:r w:rsidRPr="00425027">
        <w:rPr>
          <w:rFonts w:ascii="Times New Roman" w:hAnsi="Times New Roman"/>
        </w:rPr>
        <w:t xml:space="preserve"> </w:t>
      </w:r>
      <w:r w:rsidRPr="00425027">
        <w:rPr>
          <w:rFonts w:ascii="Times New Roman" w:eastAsia="TimesNewRomanPSMT" w:hAnsi="Times New Roman"/>
          <w:lang w:val="en-IN"/>
        </w:rPr>
        <w:t>cases. Similarly, in DQB1 typing, 66.6% anti‑GAD positive cases have DQB1*0201.</w:t>
      </w:r>
      <w:r w:rsidR="006C322D">
        <w:rPr>
          <w:rFonts w:ascii="Times New Roman" w:eastAsia="TimesNewRomanPSMT" w:hAnsi="Times New Roman"/>
          <w:lang w:val="en-IN"/>
        </w:rPr>
        <w:t xml:space="preserve"> </w:t>
      </w:r>
      <w:r w:rsidRPr="00425027">
        <w:rPr>
          <w:rFonts w:ascii="Times New Roman" w:eastAsiaTheme="minorHAnsi" w:hAnsi="Times New Roman"/>
          <w:b/>
          <w:bCs/>
          <w:lang w:val="en-IN"/>
        </w:rPr>
        <w:t>Conclusion:</w:t>
      </w:r>
      <w:r w:rsidRPr="00425027">
        <w:rPr>
          <w:rFonts w:ascii="Times New Roman" w:eastAsia="TimesNewRomanPSMT" w:hAnsi="Times New Roman"/>
          <w:lang w:val="en-IN"/>
        </w:rPr>
        <w:t xml:space="preserve"> HLA DRB1*3010 and HLA DQB1*0201 were the most susceptible </w:t>
      </w:r>
      <w:r w:rsidR="0082309B">
        <w:rPr>
          <w:rFonts w:ascii="Times New Roman" w:eastAsia="TimesNewRomanPSMT" w:hAnsi="Times New Roman"/>
          <w:lang w:val="en-IN"/>
        </w:rPr>
        <w:t xml:space="preserve">and </w:t>
      </w:r>
      <w:r w:rsidR="0082309B" w:rsidRPr="00425027">
        <w:rPr>
          <w:rFonts w:ascii="Times New Roman" w:eastAsia="TimesNewRomanPSMT" w:hAnsi="Times New Roman"/>
          <w:lang w:val="en-IN"/>
        </w:rPr>
        <w:t xml:space="preserve">HLA DRB1*14 and HLA DRB1*15 were the protective haplotypes </w:t>
      </w:r>
      <w:r w:rsidRPr="00425027">
        <w:rPr>
          <w:rFonts w:ascii="Times New Roman" w:eastAsia="TimesNewRomanPSMT" w:hAnsi="Times New Roman"/>
          <w:lang w:val="en-IN"/>
        </w:rPr>
        <w:t>for type‑I DM. Susceptibility increases</w:t>
      </w:r>
      <w:r w:rsidRPr="00425027">
        <w:rPr>
          <w:rFonts w:ascii="Times New Roman" w:hAnsi="Times New Roman"/>
        </w:rPr>
        <w:t xml:space="preserve"> </w:t>
      </w:r>
      <w:r w:rsidR="0082309B">
        <w:rPr>
          <w:rFonts w:ascii="Times New Roman" w:eastAsia="TimesNewRomanPSMT" w:hAnsi="Times New Roman"/>
          <w:lang w:val="en-IN"/>
        </w:rPr>
        <w:t xml:space="preserve">for </w:t>
      </w:r>
      <w:r w:rsidRPr="00425027">
        <w:rPr>
          <w:rFonts w:ascii="Times New Roman" w:eastAsia="TimesNewRomanPSMT" w:hAnsi="Times New Roman"/>
          <w:lang w:val="en-IN"/>
        </w:rPr>
        <w:t xml:space="preserve">homozygosity for DRB1*03010. </w:t>
      </w:r>
      <w:r w:rsidR="0082309B">
        <w:rPr>
          <w:rFonts w:ascii="Times New Roman" w:eastAsia="TimesNewRomanPSMT" w:hAnsi="Times New Roman"/>
          <w:lang w:val="en-IN"/>
        </w:rPr>
        <w:t xml:space="preserve">Diagnostic efficacy for T1 DM increase from 40.9% to 83% if </w:t>
      </w:r>
      <w:r w:rsidR="0082309B" w:rsidRPr="00425027">
        <w:rPr>
          <w:rFonts w:ascii="Times New Roman" w:eastAsia="TimesNewRomanPSMT" w:hAnsi="Times New Roman"/>
          <w:lang w:val="en-IN"/>
        </w:rPr>
        <w:t xml:space="preserve">DRB1 and DQB1 typing is added </w:t>
      </w:r>
      <w:r w:rsidR="0082309B">
        <w:rPr>
          <w:rFonts w:ascii="Times New Roman" w:eastAsia="TimesNewRomanPSMT" w:hAnsi="Times New Roman"/>
          <w:lang w:val="en-IN"/>
        </w:rPr>
        <w:t xml:space="preserve">with </w:t>
      </w:r>
      <w:r w:rsidRPr="00425027">
        <w:rPr>
          <w:rFonts w:ascii="Times New Roman" w:eastAsia="TimesNewRomanPSMT" w:hAnsi="Times New Roman"/>
          <w:lang w:val="en-IN"/>
        </w:rPr>
        <w:t>anti‑GAD antibody</w:t>
      </w:r>
      <w:r w:rsidR="0082309B">
        <w:rPr>
          <w:rFonts w:ascii="Times New Roman" w:eastAsia="TimesNewRomanPSMT" w:hAnsi="Times New Roman"/>
          <w:lang w:val="en-IN"/>
        </w:rPr>
        <w:t>.</w:t>
      </w:r>
      <w:r w:rsidRPr="00425027">
        <w:rPr>
          <w:rFonts w:ascii="Times New Roman" w:eastAsia="Times New Roman" w:hAnsi="Times New Roman"/>
          <w:color w:val="000000"/>
        </w:rPr>
        <w:t xml:space="preserve"> </w:t>
      </w:r>
    </w:p>
    <w:p w14:paraId="592FCAED" w14:textId="77777777" w:rsidR="0040709F" w:rsidRDefault="0040709F" w:rsidP="007D4343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</w:rPr>
      </w:pPr>
    </w:p>
    <w:p w14:paraId="3BD825C5" w14:textId="4579E4A1" w:rsidR="007D4343" w:rsidRPr="007D4343" w:rsidRDefault="007D4343" w:rsidP="007D4343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D434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Bibliography </w:t>
      </w:r>
    </w:p>
    <w:p w14:paraId="250B2124" w14:textId="77777777" w:rsidR="007D4343" w:rsidRDefault="007D4343" w:rsidP="007D4343">
      <w:pPr>
        <w:autoSpaceDE w:val="0"/>
        <w:autoSpaceDN w:val="0"/>
        <w:adjustRightInd w:val="0"/>
        <w:rPr>
          <w:rFonts w:ascii="Times New Roman" w:eastAsia="Times New Roman" w:hAnsi="Times New Roman"/>
          <w:color w:val="000000"/>
        </w:rPr>
      </w:pPr>
    </w:p>
    <w:p w14:paraId="530F2964" w14:textId="65456054" w:rsidR="007D4343" w:rsidRPr="007D4343" w:rsidRDefault="007D4343" w:rsidP="007D4343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TimesNewRomanPSMT" w:hAnsi="Times New Roman"/>
          <w:lang w:val="en-IN"/>
        </w:rPr>
      </w:pPr>
      <w:r w:rsidRPr="007D4343">
        <w:rPr>
          <w:rFonts w:ascii="Times New Roman" w:eastAsia="TimesNewRomanPSMT" w:hAnsi="Times New Roman"/>
          <w:lang w:val="en-IN"/>
        </w:rPr>
        <w:t>Mehra NK, Kumar N, Kaur G, Kanga U, Tandon N. Biomarkers of</w:t>
      </w:r>
      <w:r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>susceptibility to type 1 diabetes with special reference to the Indian</w:t>
      </w:r>
      <w:r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 xml:space="preserve">population. Indian J Med Res </w:t>
      </w:r>
      <w:r w:rsidRPr="007D4343">
        <w:rPr>
          <w:rFonts w:ascii="Times New Roman" w:eastAsia="TimesNewRomanPSMT" w:hAnsi="Times New Roman"/>
          <w:lang w:val="en-IN"/>
        </w:rPr>
        <w:t>2007; 125:321</w:t>
      </w:r>
      <w:r w:rsidRPr="007D4343">
        <w:rPr>
          <w:rFonts w:ascii="Times New Roman" w:eastAsia="TimesNewRomanPSMT" w:hAnsi="Times New Roman"/>
          <w:lang w:val="en-IN"/>
        </w:rPr>
        <w:t>‑44.</w:t>
      </w:r>
    </w:p>
    <w:p w14:paraId="78B4927C" w14:textId="77777777" w:rsidR="007D4343" w:rsidRPr="007D4343" w:rsidRDefault="007D4343" w:rsidP="007D4343">
      <w:pPr>
        <w:autoSpaceDE w:val="0"/>
        <w:autoSpaceDN w:val="0"/>
        <w:adjustRightInd w:val="0"/>
        <w:jc w:val="both"/>
        <w:rPr>
          <w:rFonts w:ascii="Times New Roman" w:eastAsia="TimesNewRomanPSMT" w:hAnsi="Times New Roman"/>
          <w:lang w:val="en-IN"/>
        </w:rPr>
      </w:pPr>
    </w:p>
    <w:p w14:paraId="1D220E9F" w14:textId="778E8531" w:rsidR="007D4343" w:rsidRDefault="007D4343" w:rsidP="007D4343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TimesNewRomanPSMT" w:hAnsi="Times New Roman"/>
          <w:lang w:val="en-IN"/>
        </w:rPr>
      </w:pPr>
      <w:r w:rsidRPr="007D4343">
        <w:rPr>
          <w:rFonts w:ascii="Times New Roman" w:eastAsia="TimesNewRomanPSMT" w:hAnsi="Times New Roman"/>
          <w:lang w:val="en-IN"/>
        </w:rPr>
        <w:lastRenderedPageBreak/>
        <w:t>Serrano Rios M, Lopez G, Bravo FP, Martinez MT, Antona J, Rowley M,</w:t>
      </w:r>
      <w:r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i/>
          <w:iCs/>
          <w:lang w:val="en-IN"/>
        </w:rPr>
        <w:t>et al</w:t>
      </w:r>
      <w:r w:rsidRPr="007D4343">
        <w:rPr>
          <w:rFonts w:ascii="Times New Roman" w:eastAsia="TimesNewRomanPSMT" w:hAnsi="Times New Roman"/>
          <w:lang w:val="en-IN"/>
        </w:rPr>
        <w:t>. HLA DQ, DR and anti‑GAD antibody in first degree relatives of</w:t>
      </w:r>
      <w:r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 xml:space="preserve">type I diabetes mellitus. Diabetes Res Clin Pract </w:t>
      </w:r>
      <w:r w:rsidRPr="007D4343">
        <w:rPr>
          <w:rFonts w:ascii="Times New Roman" w:eastAsia="TimesNewRomanPSMT" w:hAnsi="Times New Roman"/>
          <w:lang w:val="en-IN"/>
        </w:rPr>
        <w:t>1996; 34:133</w:t>
      </w:r>
      <w:r w:rsidRPr="007D4343">
        <w:rPr>
          <w:rFonts w:ascii="Times New Roman" w:eastAsia="TimesNewRomanPSMT" w:hAnsi="Times New Roman"/>
          <w:lang w:val="en-IN"/>
        </w:rPr>
        <w:t>‑9.</w:t>
      </w:r>
    </w:p>
    <w:p w14:paraId="1598BD0C" w14:textId="77777777" w:rsidR="007D4343" w:rsidRPr="007D4343" w:rsidRDefault="007D4343" w:rsidP="007D4343">
      <w:pPr>
        <w:autoSpaceDE w:val="0"/>
        <w:autoSpaceDN w:val="0"/>
        <w:adjustRightInd w:val="0"/>
        <w:ind w:left="360"/>
        <w:jc w:val="both"/>
        <w:rPr>
          <w:rFonts w:ascii="Times New Roman" w:eastAsia="TimesNewRomanPSMT" w:hAnsi="Times New Roman"/>
          <w:lang w:val="en-IN"/>
        </w:rPr>
      </w:pPr>
    </w:p>
    <w:p w14:paraId="7944BBA4" w14:textId="77935894" w:rsidR="007D4343" w:rsidRDefault="007D4343" w:rsidP="007D4343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TimesNewRomanPSMT" w:hAnsi="Times New Roman"/>
          <w:lang w:val="en-IN"/>
        </w:rPr>
      </w:pPr>
      <w:r w:rsidRPr="007D4343">
        <w:rPr>
          <w:rFonts w:ascii="Times New Roman" w:eastAsia="TimesNewRomanPSMT" w:hAnsi="Times New Roman"/>
          <w:lang w:val="en-IN"/>
        </w:rPr>
        <w:t>Rani R, Sood A, Lazaro AM, Stastny P. Associations of MHC class II</w:t>
      </w:r>
      <w:r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>alleles with Insulin‑dependent diabetes mellitus (IDDM) in patients</w:t>
      </w:r>
      <w:r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 xml:space="preserve">from North India. Hum Immunol </w:t>
      </w:r>
      <w:r w:rsidRPr="007D4343">
        <w:rPr>
          <w:rFonts w:ascii="Times New Roman" w:eastAsia="TimesNewRomanPSMT" w:hAnsi="Times New Roman"/>
          <w:lang w:val="en-IN"/>
        </w:rPr>
        <w:t>1999; 60:524</w:t>
      </w:r>
      <w:r w:rsidRPr="007D4343">
        <w:rPr>
          <w:rFonts w:ascii="Times New Roman" w:eastAsia="TimesNewRomanPSMT" w:hAnsi="Times New Roman"/>
          <w:lang w:val="en-IN"/>
        </w:rPr>
        <w:t>‑31.</w:t>
      </w:r>
    </w:p>
    <w:p w14:paraId="012A3A09" w14:textId="77777777" w:rsidR="007D4343" w:rsidRPr="007D4343" w:rsidRDefault="007D4343" w:rsidP="007D4343">
      <w:pPr>
        <w:pStyle w:val="ListParagraph"/>
        <w:rPr>
          <w:rFonts w:ascii="Times New Roman" w:eastAsia="TimesNewRomanPSMT" w:hAnsi="Times New Roman"/>
          <w:lang w:val="en-IN"/>
        </w:rPr>
      </w:pPr>
    </w:p>
    <w:p w14:paraId="6ABA1E53" w14:textId="77777777" w:rsidR="007D4343" w:rsidRPr="007D4343" w:rsidRDefault="007D4343" w:rsidP="007D4343">
      <w:pPr>
        <w:pStyle w:val="ListParagraph"/>
        <w:autoSpaceDE w:val="0"/>
        <w:autoSpaceDN w:val="0"/>
        <w:adjustRightInd w:val="0"/>
        <w:jc w:val="both"/>
        <w:rPr>
          <w:rFonts w:ascii="Times New Roman" w:eastAsia="TimesNewRomanPSMT" w:hAnsi="Times New Roman"/>
          <w:lang w:val="en-IN"/>
        </w:rPr>
      </w:pPr>
    </w:p>
    <w:p w14:paraId="5241A568" w14:textId="5BDC5728" w:rsidR="007D4343" w:rsidRPr="007D4343" w:rsidRDefault="007D4343" w:rsidP="007D434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NewRomanPSMT" w:hAnsi="Times New Roman"/>
          <w:lang w:val="en-IN"/>
        </w:rPr>
      </w:pPr>
      <w:r w:rsidRPr="007D4343">
        <w:rPr>
          <w:rFonts w:ascii="Times New Roman" w:eastAsia="TimesNewRomanPSMT" w:hAnsi="Times New Roman"/>
          <w:lang w:val="en-IN"/>
        </w:rPr>
        <w:t xml:space="preserve">Murao S, Makino H, Kaino Y, Konoue E, Ohashi J, Kida K, </w:t>
      </w:r>
      <w:r w:rsidRPr="007D4343">
        <w:rPr>
          <w:rFonts w:ascii="Times New Roman" w:eastAsia="TimesNewRomanPSMT" w:hAnsi="Times New Roman"/>
          <w:i/>
          <w:iCs/>
          <w:lang w:val="en-IN"/>
        </w:rPr>
        <w:t>et al</w:t>
      </w:r>
      <w:r w:rsidRPr="007D4343">
        <w:rPr>
          <w:rFonts w:ascii="Times New Roman" w:eastAsia="TimesNewRomanPSMT" w:hAnsi="Times New Roman"/>
          <w:lang w:val="en-IN"/>
        </w:rPr>
        <w:t>.</w:t>
      </w:r>
      <w:r w:rsidRPr="007D4343"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>Differences in the contribution of HLA‑DR and –DQ haplotypes to</w:t>
      </w:r>
      <w:r w:rsidRPr="007D4343"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>susceptibility to adult‑ and childhood‑onset type 1 diabetes in Japanese</w:t>
      </w:r>
      <w:r w:rsidRPr="007D4343"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 xml:space="preserve">patients. Diabetes </w:t>
      </w:r>
      <w:r w:rsidRPr="007D4343">
        <w:rPr>
          <w:rFonts w:ascii="Times New Roman" w:eastAsia="TimesNewRomanPSMT" w:hAnsi="Times New Roman"/>
          <w:lang w:val="en-IN"/>
        </w:rPr>
        <w:t>2004; 53:2684</w:t>
      </w:r>
      <w:r w:rsidRPr="007D4343">
        <w:rPr>
          <w:rFonts w:ascii="Times New Roman" w:eastAsia="TimesNewRomanPSMT" w:hAnsi="Times New Roman"/>
          <w:lang w:val="en-IN"/>
        </w:rPr>
        <w:t>‑90.</w:t>
      </w:r>
      <w:r w:rsidRPr="007D4343">
        <w:rPr>
          <w:rFonts w:ascii="Times New Roman" w:eastAsia="TimesNewRomanPSMT" w:hAnsi="Times New Roman"/>
          <w:lang w:val="en-IN"/>
        </w:rPr>
        <w:t xml:space="preserve"> </w:t>
      </w:r>
    </w:p>
    <w:p w14:paraId="57314432" w14:textId="77777777" w:rsidR="007D4343" w:rsidRPr="007D4343" w:rsidRDefault="007D4343" w:rsidP="007D4343">
      <w:pPr>
        <w:autoSpaceDE w:val="0"/>
        <w:autoSpaceDN w:val="0"/>
        <w:adjustRightInd w:val="0"/>
        <w:rPr>
          <w:rFonts w:ascii="Times New Roman" w:eastAsia="TimesNewRomanPSMT" w:hAnsi="Times New Roman"/>
          <w:lang w:val="en-IN"/>
        </w:rPr>
      </w:pPr>
    </w:p>
    <w:p w14:paraId="3BCA015B" w14:textId="36C92EF9" w:rsidR="007D4343" w:rsidRDefault="007D4343" w:rsidP="007D434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NewRomanPSMT" w:hAnsi="Times New Roman"/>
          <w:lang w:val="en-IN"/>
        </w:rPr>
      </w:pPr>
      <w:r w:rsidRPr="007D4343">
        <w:rPr>
          <w:rFonts w:ascii="Times New Roman" w:eastAsia="TimesNewRomanPSMT" w:hAnsi="Times New Roman"/>
          <w:lang w:val="en-IN"/>
        </w:rPr>
        <w:t>Noble JA, Valdes AM, Cook M, Klitz W, Thomson G, Erlich HA.</w:t>
      </w:r>
      <w:r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>The role of HLA class II genes in insulin‑dependent diabetes mellitus:</w:t>
      </w:r>
      <w:r>
        <w:rPr>
          <w:rFonts w:ascii="Times New Roman" w:eastAsia="TimesNewRomanPSMT" w:hAnsi="Times New Roman"/>
          <w:lang w:val="en-IN"/>
        </w:rPr>
        <w:t xml:space="preserve"> </w:t>
      </w:r>
      <w:r w:rsidRPr="007D4343">
        <w:rPr>
          <w:rFonts w:ascii="Times New Roman" w:eastAsia="TimesNewRomanPSMT" w:hAnsi="Times New Roman"/>
          <w:lang w:val="en-IN"/>
        </w:rPr>
        <w:t>Molecular analysis of 180 Caucasian, multiplex families. Am J Hum</w:t>
      </w:r>
    </w:p>
    <w:p w14:paraId="48A15600" w14:textId="77777777" w:rsidR="00BD7E86" w:rsidRPr="00BD7E86" w:rsidRDefault="00BD7E86" w:rsidP="00BD7E86">
      <w:pPr>
        <w:pStyle w:val="ListParagraph"/>
        <w:rPr>
          <w:rFonts w:ascii="Times New Roman" w:eastAsia="TimesNewRomanPSMT" w:hAnsi="Times New Roman"/>
          <w:lang w:val="en-IN"/>
        </w:rPr>
      </w:pPr>
    </w:p>
    <w:p w14:paraId="5F1BCD56" w14:textId="77777777" w:rsidR="00BD7E86" w:rsidRPr="00BD7E86" w:rsidRDefault="00BD7E86" w:rsidP="00BD7E86">
      <w:pPr>
        <w:autoSpaceDE w:val="0"/>
        <w:autoSpaceDN w:val="0"/>
        <w:adjustRightInd w:val="0"/>
        <w:rPr>
          <w:rFonts w:ascii="Times New Roman" w:eastAsia="TimesNewRomanPSMT" w:hAnsi="Times New Roman"/>
          <w:lang w:val="en-IN"/>
        </w:rPr>
      </w:pPr>
    </w:p>
    <w:p w14:paraId="6C6DF1F7" w14:textId="7C142D84" w:rsidR="007D4343" w:rsidRPr="007D4343" w:rsidRDefault="007D4343" w:rsidP="007D4343">
      <w:pPr>
        <w:autoSpaceDE w:val="0"/>
        <w:autoSpaceDN w:val="0"/>
        <w:adjustRightInd w:val="0"/>
        <w:ind w:left="360"/>
        <w:jc w:val="both"/>
        <w:rPr>
          <w:rFonts w:ascii="Times New Roman" w:eastAsia="TimesNewRomanPSMT" w:hAnsi="Times New Roman"/>
          <w:lang w:val="en-IN"/>
        </w:rPr>
      </w:pPr>
    </w:p>
    <w:p w14:paraId="0C6A39BE" w14:textId="082640AA" w:rsidR="007D4343" w:rsidRPr="007D4343" w:rsidRDefault="007D4343" w:rsidP="007D4343">
      <w:pPr>
        <w:autoSpaceDE w:val="0"/>
        <w:autoSpaceDN w:val="0"/>
        <w:adjustRightInd w:val="0"/>
        <w:jc w:val="both"/>
        <w:rPr>
          <w:rFonts w:ascii="Times New Roman" w:eastAsia="TimesNewRomanPSMT" w:hAnsi="Times New Roman"/>
          <w:lang w:val="en-IN"/>
        </w:rPr>
      </w:pPr>
      <w:r w:rsidRPr="007D4343">
        <w:rPr>
          <w:rFonts w:ascii="Times New Roman" w:eastAsia="TimesNewRomanPSMT" w:hAnsi="Times New Roman"/>
          <w:lang w:val="en-IN"/>
        </w:rPr>
        <w:t xml:space="preserve"> </w:t>
      </w:r>
      <w:r w:rsidR="00BD7E86">
        <w:rPr>
          <w:noProof/>
        </w:rPr>
        <w:drawing>
          <wp:inline distT="0" distB="0" distL="0" distR="0" wp14:anchorId="3E8B7DDE" wp14:editId="56C786FE">
            <wp:extent cx="1057275" cy="1171575"/>
            <wp:effectExtent l="133350" t="114300" r="123825" b="161925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71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4D92DF7" w14:textId="46A096D6" w:rsidR="00BD7E86" w:rsidRDefault="006A42AE" w:rsidP="006A42AE">
      <w:pPr>
        <w:spacing w:after="480"/>
        <w:jc w:val="both"/>
        <w:rPr>
          <w:rFonts w:ascii="Times New Roman" w:eastAsia="Times New Roman" w:hAnsi="Times New Roman"/>
          <w:color w:val="000000"/>
        </w:rPr>
      </w:pPr>
      <w:r w:rsidRPr="006A42AE">
        <w:rPr>
          <w:rFonts w:ascii="Times New Roman" w:eastAsia="Times New Roman" w:hAnsi="Times New Roman"/>
          <w:color w:val="000000"/>
        </w:rPr>
        <w:t xml:space="preserve">Dr. </w:t>
      </w:r>
      <w:r>
        <w:rPr>
          <w:rFonts w:ascii="Times New Roman" w:eastAsia="Times New Roman" w:hAnsi="Times New Roman"/>
          <w:color w:val="000000"/>
        </w:rPr>
        <w:t>Gyanendra Singh completed his MD Pathology from Institute of Medical Sciences, BHU, Varanasi India, which is one of the prestigious medical colleges in India. He also completed his three-year senior residency and one year fellowship. He completed his research in field of diabetes</w:t>
      </w:r>
      <w:r w:rsidRPr="006A42AE">
        <w:rPr>
          <w:rFonts w:ascii="Times New Roman" w:eastAsia="Times New Roman" w:hAnsi="Times New Roman"/>
          <w:color w:val="000000"/>
        </w:rPr>
        <w:t>.</w:t>
      </w:r>
      <w:r>
        <w:rPr>
          <w:rFonts w:ascii="Times New Roman" w:eastAsia="Times New Roman" w:hAnsi="Times New Roman"/>
          <w:color w:val="000000"/>
        </w:rPr>
        <w:t xml:space="preserve"> H</w:t>
      </w:r>
      <w:r w:rsidRPr="006A42AE">
        <w:rPr>
          <w:rFonts w:ascii="Times New Roman" w:eastAsia="Times New Roman" w:hAnsi="Times New Roman"/>
          <w:color w:val="000000"/>
        </w:rPr>
        <w:t xml:space="preserve">e developed this approach based on </w:t>
      </w:r>
      <w:r>
        <w:rPr>
          <w:rFonts w:ascii="Times New Roman" w:eastAsia="Times New Roman" w:hAnsi="Times New Roman"/>
          <w:color w:val="000000"/>
        </w:rPr>
        <w:t>his</w:t>
      </w:r>
      <w:r w:rsidRPr="006A42AE">
        <w:rPr>
          <w:rFonts w:ascii="Times New Roman" w:eastAsia="Times New Roman" w:hAnsi="Times New Roman"/>
          <w:color w:val="000000"/>
        </w:rPr>
        <w:t xml:space="preserve"> years of experience working in hospitals and educational institutions in research, evaluation, teaching, and administration.</w:t>
      </w:r>
      <w:r>
        <w:rPr>
          <w:rFonts w:ascii="Times New Roman" w:eastAsia="Times New Roman" w:hAnsi="Times New Roman"/>
          <w:color w:val="000000"/>
        </w:rPr>
        <w:t xml:space="preserve"> </w:t>
      </w:r>
    </w:p>
    <w:p w14:paraId="68670562" w14:textId="27034E22" w:rsidR="006A42AE" w:rsidRPr="007D4343" w:rsidRDefault="006A42AE" w:rsidP="006A42AE">
      <w:pPr>
        <w:spacing w:after="480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Email.id – gyanendra002@gmail.com</w:t>
      </w:r>
    </w:p>
    <w:p w14:paraId="5067423C" w14:textId="77777777" w:rsidR="00F102AF" w:rsidRPr="007D4343" w:rsidRDefault="00F102AF" w:rsidP="0082309B">
      <w:pPr>
        <w:spacing w:after="480"/>
        <w:jc w:val="both"/>
        <w:rPr>
          <w:rFonts w:ascii="Times New Roman" w:eastAsia="Times New Roman" w:hAnsi="Times New Roman"/>
          <w:color w:val="000000"/>
        </w:rPr>
      </w:pPr>
    </w:p>
    <w:p w14:paraId="4E2F44D4" w14:textId="77777777" w:rsidR="00F102AF" w:rsidRPr="007D4343" w:rsidRDefault="00F102AF" w:rsidP="0082309B">
      <w:pPr>
        <w:spacing w:after="480"/>
        <w:jc w:val="both"/>
        <w:rPr>
          <w:rFonts w:ascii="Times New Roman" w:eastAsia="Times New Roman" w:hAnsi="Times New Roman"/>
          <w:color w:val="000000"/>
        </w:rPr>
      </w:pPr>
    </w:p>
    <w:p w14:paraId="59703F3F" w14:textId="217FE09E" w:rsidR="006E0C4F" w:rsidRPr="003B6385" w:rsidRDefault="00425027" w:rsidP="0082309B">
      <w:pPr>
        <w:spacing w:after="480"/>
        <w:jc w:val="both"/>
        <w:rPr>
          <w:rFonts w:ascii="Times New Roman" w:hAnsi="Times New Roman"/>
        </w:rPr>
      </w:pPr>
      <w:r w:rsidRPr="00425027">
        <w:rPr>
          <w:rFonts w:ascii="Times New Roman" w:eastAsia="Times New Roman" w:hAnsi="Times New Roman"/>
          <w:color w:val="000000"/>
        </w:rPr>
        <w:t xml:space="preserve">  </w:t>
      </w:r>
      <w:r w:rsidRPr="008B7797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6E0C4F" w:rsidRPr="003B6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721BT-BoldCondensed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75834"/>
    <w:multiLevelType w:val="hybridMultilevel"/>
    <w:tmpl w:val="77D24B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E12D6"/>
    <w:multiLevelType w:val="hybridMultilevel"/>
    <w:tmpl w:val="77D24B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06"/>
    <w:rsid w:val="00365A06"/>
    <w:rsid w:val="003B6385"/>
    <w:rsid w:val="003D4A60"/>
    <w:rsid w:val="0040709F"/>
    <w:rsid w:val="00425027"/>
    <w:rsid w:val="004E588E"/>
    <w:rsid w:val="00527EE3"/>
    <w:rsid w:val="005813AA"/>
    <w:rsid w:val="00592D4C"/>
    <w:rsid w:val="0063398B"/>
    <w:rsid w:val="006A42AE"/>
    <w:rsid w:val="006A4CE1"/>
    <w:rsid w:val="006C322D"/>
    <w:rsid w:val="006E0C4F"/>
    <w:rsid w:val="006F6AED"/>
    <w:rsid w:val="007D4343"/>
    <w:rsid w:val="0082309B"/>
    <w:rsid w:val="00A67B32"/>
    <w:rsid w:val="00BD7E86"/>
    <w:rsid w:val="00CA236D"/>
    <w:rsid w:val="00CC0E81"/>
    <w:rsid w:val="00E805C4"/>
    <w:rsid w:val="00F1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8A10E"/>
  <w15:chartTrackingRefBased/>
  <w15:docId w15:val="{EF68D839-7377-41D5-8502-0DEB9442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7"/>
    <w:pPr>
      <w:spacing w:after="0" w:line="240" w:lineRule="auto"/>
    </w:pPr>
    <w:rPr>
      <w:rFonts w:ascii="Cambria" w:eastAsia="Calibri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50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D4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gyanendra singh</dc:creator>
  <cp:keywords/>
  <dc:description/>
  <cp:lastModifiedBy>gyanendra singh</cp:lastModifiedBy>
  <cp:revision>60</cp:revision>
  <dcterms:created xsi:type="dcterms:W3CDTF">2021-08-15T08:01:00Z</dcterms:created>
  <dcterms:modified xsi:type="dcterms:W3CDTF">2021-08-18T06:00:00Z</dcterms:modified>
</cp:coreProperties>
</file>