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408" w:rsidRPr="00125408" w:rsidRDefault="00125408" w:rsidP="00F03543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5408">
        <w:rPr>
          <w:rFonts w:ascii="Times New Roman" w:hAnsi="Times New Roman" w:cs="Times New Roman"/>
          <w:b/>
          <w:sz w:val="28"/>
          <w:szCs w:val="28"/>
          <w:lang w:val="en-US"/>
        </w:rPr>
        <w:t>Lectin-like oxidized low-density lipoprotein receptor-1 (LOX-1) and soluble LOX-1</w:t>
      </w:r>
      <w:r w:rsidR="00A019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(s</w:t>
      </w:r>
      <w:r w:rsidR="00A0192A" w:rsidRPr="00A0192A">
        <w:rPr>
          <w:rFonts w:ascii="Times New Roman" w:hAnsi="Times New Roman" w:cs="Times New Roman"/>
          <w:b/>
          <w:sz w:val="28"/>
          <w:szCs w:val="28"/>
          <w:lang w:val="en-US"/>
        </w:rPr>
        <w:t>LOX-1)</w:t>
      </w:r>
      <w:r w:rsidRPr="00125408">
        <w:rPr>
          <w:rFonts w:ascii="Times New Roman" w:hAnsi="Times New Roman" w:cs="Times New Roman"/>
          <w:b/>
          <w:sz w:val="28"/>
          <w:szCs w:val="28"/>
          <w:lang w:val="en-US"/>
        </w:rPr>
        <w:t>: implications in</w:t>
      </w:r>
      <w:r w:rsidR="00A019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atherosclerosis</w:t>
      </w:r>
      <w:r w:rsidRPr="00125408">
        <w:rPr>
          <w:rFonts w:ascii="Times New Roman" w:hAnsi="Times New Roman" w:cs="Times New Roman"/>
          <w:b/>
          <w:sz w:val="28"/>
          <w:szCs w:val="28"/>
          <w:lang w:val="en-US"/>
        </w:rPr>
        <w:t>-related diseases</w:t>
      </w:r>
    </w:p>
    <w:p w:rsidR="00125408" w:rsidRPr="00125408" w:rsidRDefault="00125408" w:rsidP="00125408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537C3B" w:rsidRPr="00537C3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*</w:t>
      </w:r>
      <w:r w:rsidR="00666569">
        <w:rPr>
          <w:rFonts w:ascii="Times New Roman" w:hAnsi="Times New Roman" w:cs="Times New Roman"/>
          <w:color w:val="000000"/>
          <w:sz w:val="24"/>
          <w:szCs w:val="24"/>
        </w:rPr>
        <w:t>Stankova, T.R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537C3B">
        <w:rPr>
          <w:rFonts w:ascii="Times New Roman" w:hAnsi="Times New Roman" w:cs="Times New Roman"/>
          <w:color w:val="000000"/>
          <w:sz w:val="24"/>
          <w:szCs w:val="24"/>
        </w:rPr>
        <w:t>Stefanova, K.I.,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7C3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537C3B">
        <w:rPr>
          <w:rFonts w:ascii="Times New Roman" w:hAnsi="Times New Roman" w:cs="Times New Roman"/>
          <w:color w:val="000000"/>
          <w:sz w:val="24"/>
          <w:szCs w:val="24"/>
        </w:rPr>
        <w:t>Delcheva, G.T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. &amp; </w:t>
      </w:r>
      <w:r w:rsidR="00537C3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1 </w:t>
      </w:r>
      <w:proofErr w:type="spellStart"/>
      <w:r w:rsidR="00666569">
        <w:rPr>
          <w:rFonts w:ascii="Times New Roman" w:hAnsi="Times New Roman" w:cs="Times New Roman"/>
          <w:color w:val="000000"/>
          <w:sz w:val="24"/>
          <w:szCs w:val="24"/>
        </w:rPr>
        <w:t>Maneva</w:t>
      </w:r>
      <w:proofErr w:type="spellEnd"/>
      <w:r w:rsidR="00537C3B">
        <w:rPr>
          <w:rFonts w:ascii="Times New Roman" w:hAnsi="Times New Roman" w:cs="Times New Roman"/>
          <w:color w:val="000000"/>
          <w:sz w:val="24"/>
          <w:szCs w:val="24"/>
        </w:rPr>
        <w:t>, A.I.</w:t>
      </w:r>
    </w:p>
    <w:p w:rsidR="00AB2E5E" w:rsidRDefault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4B62" w:rsidRPr="00444B62">
        <w:rPr>
          <w:rFonts w:ascii="Times New Roman" w:hAnsi="Times New Roman" w:cs="Times New Roman"/>
          <w:color w:val="000000"/>
          <w:sz w:val="24"/>
          <w:szCs w:val="24"/>
        </w:rPr>
        <w:t>Department of Biochemistry, Faculty of Pharmacy, Medical University – Plovdiv, Plovdiv, Bulgaria</w:t>
      </w:r>
    </w:p>
    <w:p w:rsidR="00444B62" w:rsidRPr="00444B62" w:rsidRDefault="00444B6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535" w:rsidRDefault="005E57E2" w:rsidP="001E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7E2">
        <w:rPr>
          <w:rFonts w:ascii="Times New Roman" w:hAnsi="Times New Roman" w:cs="Times New Roman"/>
          <w:sz w:val="24"/>
          <w:szCs w:val="24"/>
        </w:rPr>
        <w:t xml:space="preserve">The development of atherosclerosis is a multifactorial process, but oxidized low-density lipoprotein (oxLDL) has been recognized as a critical player in the pathogenesis of the disease. The lectin-like oxLDL receptor-1 (LOX-1) has recently been identified as the primary scavenger receptor </w:t>
      </w:r>
      <w:r w:rsidR="00052555">
        <w:rPr>
          <w:rFonts w:ascii="Times New Roman" w:hAnsi="Times New Roman" w:cs="Times New Roman"/>
          <w:sz w:val="24"/>
          <w:szCs w:val="24"/>
        </w:rPr>
        <w:t xml:space="preserve">of oxLDL, which mediates their </w:t>
      </w:r>
      <w:r w:rsidRPr="005E57E2">
        <w:rPr>
          <w:rFonts w:ascii="Times New Roman" w:hAnsi="Times New Roman" w:cs="Times New Roman"/>
          <w:sz w:val="24"/>
          <w:szCs w:val="24"/>
        </w:rPr>
        <w:t>detrimental biological effects in endothelial cells. Subsequent studies have revealed that LOX-1 is also expressed by other cells highly impli</w:t>
      </w:r>
      <w:r w:rsidR="00FD7AC8">
        <w:rPr>
          <w:rFonts w:ascii="Times New Roman" w:hAnsi="Times New Roman" w:cs="Times New Roman"/>
          <w:sz w:val="24"/>
          <w:szCs w:val="24"/>
        </w:rPr>
        <w:t>cated in atherosclerosis</w:t>
      </w:r>
      <w:r w:rsidRPr="005E57E2">
        <w:rPr>
          <w:rFonts w:ascii="Times New Roman" w:hAnsi="Times New Roman" w:cs="Times New Roman"/>
          <w:sz w:val="24"/>
          <w:szCs w:val="24"/>
        </w:rPr>
        <w:t>, such as monocytes/macrophages, vascular smoot</w:t>
      </w:r>
      <w:r w:rsidR="001E1535">
        <w:rPr>
          <w:rFonts w:ascii="Times New Roman" w:hAnsi="Times New Roman" w:cs="Times New Roman"/>
          <w:sz w:val="24"/>
          <w:szCs w:val="24"/>
        </w:rPr>
        <w:t xml:space="preserve">h muscle cells, cardiomyocytes </w:t>
      </w:r>
      <w:r w:rsidRPr="005E57E2">
        <w:rPr>
          <w:rFonts w:ascii="Times New Roman" w:hAnsi="Times New Roman" w:cs="Times New Roman"/>
          <w:sz w:val="24"/>
          <w:szCs w:val="24"/>
        </w:rPr>
        <w:t>and platelets. On one hand interaction of oxLDL with LOX-1 promotes oxidative stress and transcription of pro-inflammatory molecules, and on</w:t>
      </w:r>
      <w:r w:rsidR="00FD7AC8">
        <w:rPr>
          <w:rFonts w:ascii="Times New Roman" w:hAnsi="Times New Roman" w:cs="Times New Roman"/>
          <w:sz w:val="24"/>
          <w:szCs w:val="24"/>
        </w:rPr>
        <w:t xml:space="preserve"> the other hand</w:t>
      </w:r>
      <w:r w:rsidR="00AE2211">
        <w:rPr>
          <w:rFonts w:ascii="Times New Roman" w:hAnsi="Times New Roman" w:cs="Times New Roman"/>
          <w:sz w:val="24"/>
          <w:szCs w:val="24"/>
        </w:rPr>
        <w:t xml:space="preserve"> </w:t>
      </w:r>
      <w:r w:rsidRPr="005E57E2">
        <w:rPr>
          <w:rFonts w:ascii="Times New Roman" w:hAnsi="Times New Roman" w:cs="Times New Roman"/>
          <w:sz w:val="24"/>
          <w:szCs w:val="24"/>
        </w:rPr>
        <w:t xml:space="preserve">increases the expression of LOX-1 as a result of the vicious cycle, activated by the </w:t>
      </w:r>
      <w:proofErr w:type="spellStart"/>
      <w:r w:rsidRPr="005E57E2">
        <w:rPr>
          <w:rFonts w:ascii="Times New Roman" w:hAnsi="Times New Roman" w:cs="Times New Roman"/>
          <w:sz w:val="24"/>
          <w:szCs w:val="24"/>
        </w:rPr>
        <w:t>atherogens</w:t>
      </w:r>
      <w:proofErr w:type="spellEnd"/>
      <w:r w:rsidRPr="005E57E2">
        <w:rPr>
          <w:rFonts w:ascii="Times New Roman" w:hAnsi="Times New Roman" w:cs="Times New Roman"/>
          <w:sz w:val="24"/>
          <w:szCs w:val="24"/>
        </w:rPr>
        <w:t xml:space="preserve">. Thus, LOX-1 has been suggested as a key molecule in vascular inflammation and in atherosclerotic plaque formation, destabilization, erosion and rupture. </w:t>
      </w:r>
    </w:p>
    <w:p w:rsidR="00C455DB" w:rsidRDefault="005E57E2" w:rsidP="001E15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57E2">
        <w:rPr>
          <w:rFonts w:ascii="Times New Roman" w:hAnsi="Times New Roman" w:cs="Times New Roman"/>
          <w:sz w:val="24"/>
          <w:szCs w:val="24"/>
        </w:rPr>
        <w:t xml:space="preserve">LOX-1 expressed on the cell surface can be </w:t>
      </w:r>
      <w:proofErr w:type="spellStart"/>
      <w:r w:rsidRPr="005E57E2">
        <w:rPr>
          <w:rFonts w:ascii="Times New Roman" w:hAnsi="Times New Roman" w:cs="Times New Roman"/>
          <w:sz w:val="24"/>
          <w:szCs w:val="24"/>
        </w:rPr>
        <w:t>proteolytically</w:t>
      </w:r>
      <w:proofErr w:type="spellEnd"/>
      <w:r w:rsidRPr="005E57E2">
        <w:rPr>
          <w:rFonts w:ascii="Times New Roman" w:hAnsi="Times New Roman" w:cs="Times New Roman"/>
          <w:sz w:val="24"/>
          <w:szCs w:val="24"/>
        </w:rPr>
        <w:t xml:space="preserve"> cleaved at its membrane proximal extracellular domain and released as a soluble form (sLOX-1). The serum sLOX-1 has emerged as a novel independent marker for acute coronary syndrome with a diagnostic potential superior than this of high-sensiti</w:t>
      </w:r>
      <w:r w:rsidR="00510E29">
        <w:rPr>
          <w:rFonts w:ascii="Times New Roman" w:hAnsi="Times New Roman" w:cs="Times New Roman"/>
          <w:sz w:val="24"/>
          <w:szCs w:val="24"/>
        </w:rPr>
        <w:t>vity C-reactive protein</w:t>
      </w:r>
      <w:r w:rsidRPr="005E57E2">
        <w:rPr>
          <w:rFonts w:ascii="Times New Roman" w:hAnsi="Times New Roman" w:cs="Times New Roman"/>
          <w:sz w:val="24"/>
          <w:szCs w:val="24"/>
        </w:rPr>
        <w:t xml:space="preserve"> and troponin-T. In addition, increased sLOX-1 concentrations have been associated with the presence and severity of coronary artery disease (CAD) as well as with arterial stiffness. In stable CAD patients, higher sLOX-1 levels predict an increased risk of coronary in-stent restenosis, </w:t>
      </w:r>
      <w:proofErr w:type="spellStart"/>
      <w:r w:rsidRPr="005E57E2">
        <w:rPr>
          <w:rFonts w:ascii="Times New Roman" w:hAnsi="Times New Roman" w:cs="Times New Roman"/>
          <w:sz w:val="24"/>
          <w:szCs w:val="24"/>
        </w:rPr>
        <w:t>periprocedural</w:t>
      </w:r>
      <w:proofErr w:type="spellEnd"/>
      <w:r w:rsidRPr="005E57E2">
        <w:rPr>
          <w:rFonts w:ascii="Times New Roman" w:hAnsi="Times New Roman" w:cs="Times New Roman"/>
          <w:sz w:val="24"/>
          <w:szCs w:val="24"/>
        </w:rPr>
        <w:t xml:space="preserve"> myocardial infarction after elective percutaneous coronary intervention and all major adverse cardiovascular events. Several lines of evidence have demonstrated that elevated sLOX-1 is also observed in acute ischemic stroke. Moreover, increased sLOX-1 concentrations have been detected in patients with obesity, metabolic syndrome and type 2 diabetes mellitus which are other well-known atherosclerotic risk factors. </w:t>
      </w:r>
    </w:p>
    <w:p w:rsidR="00A6350B" w:rsidRPr="00A6350B" w:rsidRDefault="00A6350B" w:rsidP="00A6350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C6353">
        <w:rPr>
          <w:rFonts w:ascii="Times New Roman" w:hAnsi="Times New Roman" w:cs="Times New Roman"/>
          <w:sz w:val="24"/>
          <w:szCs w:val="24"/>
        </w:rPr>
        <w:t>he aim of</w:t>
      </w:r>
      <w:r w:rsidR="009D7487">
        <w:rPr>
          <w:rFonts w:ascii="Times New Roman" w:hAnsi="Times New Roman" w:cs="Times New Roman"/>
          <w:sz w:val="24"/>
          <w:szCs w:val="24"/>
        </w:rPr>
        <w:t xml:space="preserve"> this</w:t>
      </w:r>
      <w:r w:rsidR="00C455DB" w:rsidRPr="00C455DB">
        <w:rPr>
          <w:rFonts w:ascii="Times New Roman" w:hAnsi="Times New Roman" w:cs="Times New Roman"/>
          <w:sz w:val="24"/>
          <w:szCs w:val="24"/>
        </w:rPr>
        <w:t xml:space="preserve"> r</w:t>
      </w:r>
      <w:r w:rsidR="00F668EE">
        <w:rPr>
          <w:rFonts w:ascii="Times New Roman" w:hAnsi="Times New Roman" w:cs="Times New Roman"/>
          <w:sz w:val="24"/>
          <w:szCs w:val="24"/>
        </w:rPr>
        <w:t xml:space="preserve">eview is </w:t>
      </w:r>
      <w:r w:rsidR="00765AD3">
        <w:rPr>
          <w:rFonts w:ascii="Times New Roman" w:hAnsi="Times New Roman" w:cs="Times New Roman"/>
          <w:sz w:val="24"/>
          <w:szCs w:val="24"/>
        </w:rPr>
        <w:t xml:space="preserve">to summarize the </w:t>
      </w:r>
      <w:r w:rsidR="000C6353">
        <w:rPr>
          <w:rFonts w:ascii="Times New Roman" w:hAnsi="Times New Roman" w:cs="Times New Roman"/>
          <w:sz w:val="24"/>
          <w:szCs w:val="24"/>
        </w:rPr>
        <w:t>current</w:t>
      </w:r>
      <w:r w:rsidR="00330A04">
        <w:rPr>
          <w:rFonts w:ascii="Times New Roman" w:hAnsi="Times New Roman" w:cs="Times New Roman"/>
          <w:sz w:val="24"/>
          <w:szCs w:val="24"/>
        </w:rPr>
        <w:t xml:space="preserve"> knowledge</w:t>
      </w:r>
      <w:r w:rsidR="00C455DB" w:rsidRPr="00C455DB">
        <w:rPr>
          <w:rFonts w:ascii="Times New Roman" w:hAnsi="Times New Roman" w:cs="Times New Roman"/>
          <w:sz w:val="24"/>
          <w:szCs w:val="24"/>
        </w:rPr>
        <w:t xml:space="preserve"> of</w:t>
      </w:r>
      <w:r w:rsidR="0021557F">
        <w:rPr>
          <w:rFonts w:ascii="Times New Roman" w:hAnsi="Times New Roman" w:cs="Times New Roman"/>
          <w:sz w:val="24"/>
          <w:szCs w:val="24"/>
        </w:rPr>
        <w:t xml:space="preserve"> the </w:t>
      </w:r>
      <w:r w:rsidR="005E57E2" w:rsidRPr="005E57E2">
        <w:rPr>
          <w:rFonts w:ascii="Times New Roman" w:hAnsi="Times New Roman" w:cs="Times New Roman"/>
          <w:sz w:val="24"/>
          <w:szCs w:val="24"/>
        </w:rPr>
        <w:t>role of LOX-1 and sLOX-1 in a</w:t>
      </w:r>
      <w:r>
        <w:rPr>
          <w:rFonts w:ascii="Times New Roman" w:hAnsi="Times New Roman" w:cs="Times New Roman"/>
          <w:sz w:val="24"/>
          <w:szCs w:val="24"/>
        </w:rPr>
        <w:t>therosclerosis-related diseases</w:t>
      </w:r>
      <w:r w:rsidR="00330A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836CAC">
        <w:rPr>
          <w:rFonts w:ascii="Times New Roman" w:hAnsi="Times New Roman" w:cs="Times New Roman"/>
          <w:b/>
          <w:sz w:val="24"/>
          <w:szCs w:val="24"/>
        </w:rPr>
        <w:t>Keywords</w:t>
      </w:r>
      <w:r w:rsidRPr="00AB2E5E">
        <w:rPr>
          <w:rFonts w:ascii="Times New Roman" w:hAnsi="Times New Roman" w:cs="Times New Roman"/>
          <w:sz w:val="24"/>
          <w:szCs w:val="24"/>
        </w:rPr>
        <w:t xml:space="preserve">: </w:t>
      </w:r>
      <w:r w:rsidR="006259CD">
        <w:rPr>
          <w:rFonts w:ascii="Times New Roman" w:hAnsi="Times New Roman" w:cs="Times New Roman"/>
          <w:sz w:val="24"/>
          <w:szCs w:val="24"/>
        </w:rPr>
        <w:t>l</w:t>
      </w:r>
      <w:r w:rsidR="006259CD" w:rsidRPr="006259CD">
        <w:rPr>
          <w:rFonts w:ascii="Times New Roman" w:hAnsi="Times New Roman" w:cs="Times New Roman"/>
          <w:sz w:val="24"/>
          <w:szCs w:val="24"/>
        </w:rPr>
        <w:t>ectin-like oxidized low density lipoprotein receptor-1 (LOX-1)</w:t>
      </w:r>
      <w:r w:rsidR="006259CD">
        <w:rPr>
          <w:rFonts w:ascii="Times New Roman" w:hAnsi="Times New Roman" w:cs="Times New Roman"/>
          <w:sz w:val="24"/>
          <w:szCs w:val="24"/>
        </w:rPr>
        <w:t xml:space="preserve">, sLOX-1, </w:t>
      </w:r>
      <w:r w:rsidR="006259CD" w:rsidRPr="006259CD">
        <w:rPr>
          <w:rFonts w:ascii="Times New Roman" w:hAnsi="Times New Roman" w:cs="Times New Roman"/>
          <w:sz w:val="24"/>
          <w:szCs w:val="24"/>
        </w:rPr>
        <w:t xml:space="preserve">oxLDL </w:t>
      </w:r>
      <w:r w:rsidR="00D43B9F" w:rsidRPr="00D43B9F">
        <w:rPr>
          <w:rFonts w:ascii="Times New Roman" w:hAnsi="Times New Roman" w:cs="Times New Roman"/>
          <w:sz w:val="24"/>
          <w:szCs w:val="24"/>
        </w:rPr>
        <w:t>atherosclerosis</w:t>
      </w:r>
    </w:p>
    <w:p w:rsidR="00836CAC" w:rsidRDefault="00836CAC" w:rsidP="00CF7A53">
      <w:pPr>
        <w:rPr>
          <w:rFonts w:ascii="Times New Roman" w:hAnsi="Times New Roman" w:cs="Times New Roman"/>
          <w:b/>
          <w:sz w:val="24"/>
          <w:szCs w:val="24"/>
        </w:rPr>
      </w:pP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lastRenderedPageBreak/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B92493" w:rsidRPr="00B92493" w:rsidRDefault="00B92493" w:rsidP="0064687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493">
        <w:rPr>
          <w:rFonts w:ascii="Times New Roman" w:hAnsi="Times New Roman" w:cs="Times New Roman"/>
          <w:sz w:val="24"/>
          <w:szCs w:val="24"/>
        </w:rPr>
        <w:t xml:space="preserve">Stankova TS,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Delcheva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GT,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Maneva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AI,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Vladeva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SV. Serum levels of carbamylated LDL,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nitrotyrosine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and soluble lectin-like oxidized low-density lipoprotein receptor-1 in poorly controlled type 2 diabetes mellitus. </w:t>
      </w:r>
      <w:r w:rsidRPr="006F3B3D">
        <w:rPr>
          <w:rFonts w:ascii="Times New Roman" w:hAnsi="Times New Roman" w:cs="Times New Roman"/>
          <w:i/>
          <w:sz w:val="24"/>
          <w:szCs w:val="24"/>
        </w:rPr>
        <w:t xml:space="preserve">Folia </w:t>
      </w:r>
      <w:proofErr w:type="spellStart"/>
      <w:r w:rsidRPr="006F3B3D">
        <w:rPr>
          <w:rFonts w:ascii="Times New Roman" w:hAnsi="Times New Roman" w:cs="Times New Roman"/>
          <w:i/>
          <w:sz w:val="24"/>
          <w:szCs w:val="24"/>
        </w:rPr>
        <w:t>Medica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2019, 61(3): 419-425. </w:t>
      </w:r>
    </w:p>
    <w:p w:rsidR="00F56C21" w:rsidRPr="00F56C21" w:rsidRDefault="00F56C21" w:rsidP="0064687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6C21">
        <w:rPr>
          <w:rFonts w:ascii="Times New Roman" w:hAnsi="Times New Roman" w:cs="Times New Roman"/>
          <w:sz w:val="24"/>
          <w:szCs w:val="24"/>
        </w:rPr>
        <w:t xml:space="preserve">Stankova T, </w:t>
      </w:r>
      <w:proofErr w:type="spellStart"/>
      <w:r w:rsidRPr="00F56C21">
        <w:rPr>
          <w:rFonts w:ascii="Times New Roman" w:hAnsi="Times New Roman" w:cs="Times New Roman"/>
          <w:sz w:val="24"/>
          <w:szCs w:val="24"/>
        </w:rPr>
        <w:t>Delcheva</w:t>
      </w:r>
      <w:proofErr w:type="spellEnd"/>
      <w:r w:rsidRPr="00F56C21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F56C21">
        <w:rPr>
          <w:rFonts w:ascii="Times New Roman" w:hAnsi="Times New Roman" w:cs="Times New Roman"/>
          <w:sz w:val="24"/>
          <w:szCs w:val="24"/>
        </w:rPr>
        <w:t>Maneva</w:t>
      </w:r>
      <w:proofErr w:type="spellEnd"/>
      <w:r w:rsidRPr="00F56C21">
        <w:rPr>
          <w:rFonts w:ascii="Times New Roman" w:hAnsi="Times New Roman" w:cs="Times New Roman"/>
          <w:sz w:val="24"/>
          <w:szCs w:val="24"/>
        </w:rPr>
        <w:t xml:space="preserve"> A,</w:t>
      </w:r>
      <w:r w:rsidR="00781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C21">
        <w:rPr>
          <w:rFonts w:ascii="Times New Roman" w:hAnsi="Times New Roman" w:cs="Times New Roman"/>
          <w:sz w:val="24"/>
          <w:szCs w:val="24"/>
        </w:rPr>
        <w:t>Vladeva</w:t>
      </w:r>
      <w:proofErr w:type="spellEnd"/>
      <w:r w:rsidRPr="00F56C21">
        <w:rPr>
          <w:rFonts w:ascii="Times New Roman" w:hAnsi="Times New Roman" w:cs="Times New Roman"/>
          <w:sz w:val="24"/>
          <w:szCs w:val="24"/>
        </w:rPr>
        <w:t xml:space="preserve"> S. Serum levels of carbamylated LDL and soluble lectin-like oxidized low-density lipoprotein receptor-1 are associated with coronary artery disease in patients with metabolic syndrome. </w:t>
      </w:r>
      <w:proofErr w:type="spellStart"/>
      <w:r w:rsidRPr="006F3B3D">
        <w:rPr>
          <w:rFonts w:ascii="Times New Roman" w:hAnsi="Times New Roman" w:cs="Times New Roman"/>
          <w:i/>
          <w:sz w:val="24"/>
          <w:szCs w:val="24"/>
        </w:rPr>
        <w:t>Medicina</w:t>
      </w:r>
      <w:proofErr w:type="spellEnd"/>
      <w:r w:rsidRPr="00F56C21">
        <w:rPr>
          <w:rFonts w:ascii="Times New Roman" w:hAnsi="Times New Roman" w:cs="Times New Roman"/>
          <w:sz w:val="24"/>
          <w:szCs w:val="24"/>
        </w:rPr>
        <w:t xml:space="preserve"> 2019, 55, </w:t>
      </w:r>
      <w:proofErr w:type="gramStart"/>
      <w:r w:rsidRPr="00F56C21">
        <w:rPr>
          <w:rFonts w:ascii="Times New Roman" w:hAnsi="Times New Roman" w:cs="Times New Roman"/>
          <w:sz w:val="24"/>
          <w:szCs w:val="24"/>
        </w:rPr>
        <w:t>493 .</w:t>
      </w:r>
      <w:proofErr w:type="gramEnd"/>
    </w:p>
    <w:p w:rsidR="00B92493" w:rsidRPr="00B92493" w:rsidRDefault="00B92493" w:rsidP="0064687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493">
        <w:rPr>
          <w:rFonts w:ascii="Times New Roman" w:hAnsi="Times New Roman" w:cs="Times New Roman"/>
          <w:sz w:val="24"/>
          <w:szCs w:val="24"/>
        </w:rPr>
        <w:t xml:space="preserve">Stankova T,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Delcheva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Stefanova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Maneva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Vladeva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Tsvetkova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G. 3-nitrotyrosine as a serum biomarker of </w:t>
      </w:r>
      <w:proofErr w:type="spellStart"/>
      <w:r w:rsidRPr="00B92493">
        <w:rPr>
          <w:rFonts w:ascii="Times New Roman" w:hAnsi="Times New Roman" w:cs="Times New Roman"/>
          <w:sz w:val="24"/>
          <w:szCs w:val="24"/>
        </w:rPr>
        <w:t>nitroxidative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stress and insulin resistance in nasce</w:t>
      </w:r>
      <w:r w:rsidR="006F3B3D">
        <w:rPr>
          <w:rFonts w:ascii="Times New Roman" w:hAnsi="Times New Roman" w:cs="Times New Roman"/>
          <w:sz w:val="24"/>
          <w:szCs w:val="24"/>
        </w:rPr>
        <w:t xml:space="preserve">nt metabolic syndrome. </w:t>
      </w:r>
      <w:proofErr w:type="spellStart"/>
      <w:r w:rsidR="006F3B3D" w:rsidRPr="006F3B3D">
        <w:rPr>
          <w:rFonts w:ascii="Times New Roman" w:hAnsi="Times New Roman" w:cs="Times New Roman"/>
          <w:i/>
          <w:sz w:val="24"/>
          <w:szCs w:val="24"/>
        </w:rPr>
        <w:t>Bulg</w:t>
      </w:r>
      <w:proofErr w:type="spellEnd"/>
      <w:r w:rsidR="006F3B3D" w:rsidRPr="006F3B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3B3D" w:rsidRPr="006F3B3D">
        <w:rPr>
          <w:rFonts w:ascii="Times New Roman" w:hAnsi="Times New Roman" w:cs="Times New Roman"/>
          <w:i/>
          <w:sz w:val="24"/>
          <w:szCs w:val="24"/>
        </w:rPr>
        <w:t>Chem</w:t>
      </w:r>
      <w:proofErr w:type="spellEnd"/>
      <w:r w:rsidR="006F3B3D" w:rsidRPr="006F3B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3B3D" w:rsidRPr="006F3B3D">
        <w:rPr>
          <w:rFonts w:ascii="Times New Roman" w:hAnsi="Times New Roman" w:cs="Times New Roman"/>
          <w:i/>
          <w:sz w:val="24"/>
          <w:szCs w:val="24"/>
        </w:rPr>
        <w:t>Commun</w:t>
      </w:r>
      <w:proofErr w:type="spellEnd"/>
      <w:r w:rsidRPr="00B92493">
        <w:rPr>
          <w:rFonts w:ascii="Times New Roman" w:hAnsi="Times New Roman" w:cs="Times New Roman"/>
          <w:sz w:val="24"/>
          <w:szCs w:val="24"/>
        </w:rPr>
        <w:t xml:space="preserve"> 2018; 50 (</w:t>
      </w:r>
      <w:r>
        <w:rPr>
          <w:rFonts w:ascii="Times New Roman" w:hAnsi="Times New Roman" w:cs="Times New Roman"/>
          <w:sz w:val="24"/>
          <w:szCs w:val="24"/>
        </w:rPr>
        <w:t xml:space="preserve">J):165–171. </w:t>
      </w:r>
    </w:p>
    <w:p w:rsidR="00CF7A53" w:rsidRPr="00AB2E5E" w:rsidRDefault="00446577" w:rsidP="0064687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6577">
        <w:rPr>
          <w:rFonts w:ascii="Times New Roman" w:hAnsi="Times New Roman" w:cs="Times New Roman"/>
          <w:sz w:val="24"/>
          <w:szCs w:val="24"/>
        </w:rPr>
        <w:t xml:space="preserve">Stankova T. Carbamylated low-density lipoproteins (cLDL): a novel, non-traditional cardiovascular risk marker. </w:t>
      </w:r>
      <w:r w:rsidRPr="00781B1E">
        <w:rPr>
          <w:rFonts w:ascii="Times New Roman" w:hAnsi="Times New Roman" w:cs="Times New Roman"/>
          <w:i/>
          <w:sz w:val="24"/>
          <w:szCs w:val="24"/>
        </w:rPr>
        <w:t>Scientific works of the Union of Scientists in Bulgaria-Plovdiv</w:t>
      </w:r>
      <w:r w:rsidR="008020BF">
        <w:rPr>
          <w:rFonts w:ascii="Times New Roman" w:hAnsi="Times New Roman" w:cs="Times New Roman"/>
          <w:sz w:val="24"/>
          <w:szCs w:val="24"/>
        </w:rPr>
        <w:t>, 2019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020BF">
        <w:rPr>
          <w:rFonts w:ascii="Times New Roman" w:hAnsi="Times New Roman" w:cs="Times New Roman"/>
          <w:sz w:val="24"/>
          <w:szCs w:val="24"/>
        </w:rPr>
        <w:t>ХXIII</w:t>
      </w:r>
      <w:r w:rsidRPr="00446577">
        <w:rPr>
          <w:rFonts w:ascii="Times New Roman" w:hAnsi="Times New Roman" w:cs="Times New Roman"/>
          <w:sz w:val="24"/>
          <w:szCs w:val="24"/>
        </w:rPr>
        <w:t>, 254-258.</w:t>
      </w:r>
    </w:p>
    <w:p w:rsidR="00AB2E5E" w:rsidRDefault="00C41A83" w:rsidP="0064687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A83">
        <w:rPr>
          <w:rFonts w:ascii="Times New Roman" w:hAnsi="Times New Roman" w:cs="Times New Roman"/>
          <w:sz w:val="24"/>
          <w:szCs w:val="24"/>
        </w:rPr>
        <w:t>Dimitrov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IV,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Kamenov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VI,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Boyadjiev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NP, Georgieva KN, Bivolarska AV,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Draganova-Filipova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MN,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Angelova-Hristova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PA,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Delchev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Daskalova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Gerginska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F, Stankova TR,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Gramatikov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V. Impact of a High-fat Diet on the Development of Chronic Inflammation in Heart of </w:t>
      </w:r>
      <w:proofErr w:type="spellStart"/>
      <w:r w:rsidRPr="00C41A83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rats. </w:t>
      </w:r>
      <w:r w:rsidRPr="00781B1E">
        <w:rPr>
          <w:rFonts w:ascii="Times New Roman" w:hAnsi="Times New Roman" w:cs="Times New Roman"/>
          <w:i/>
          <w:sz w:val="24"/>
          <w:szCs w:val="24"/>
        </w:rPr>
        <w:t xml:space="preserve">Folia </w:t>
      </w:r>
      <w:proofErr w:type="spellStart"/>
      <w:r w:rsidRPr="00781B1E">
        <w:rPr>
          <w:rFonts w:ascii="Times New Roman" w:hAnsi="Times New Roman" w:cs="Times New Roman"/>
          <w:i/>
          <w:sz w:val="24"/>
          <w:szCs w:val="24"/>
        </w:rPr>
        <w:t>Medica</w:t>
      </w:r>
      <w:proofErr w:type="spellEnd"/>
      <w:r w:rsidRPr="00C41A83">
        <w:rPr>
          <w:rFonts w:ascii="Times New Roman" w:hAnsi="Times New Roman" w:cs="Times New Roman"/>
          <w:sz w:val="24"/>
          <w:szCs w:val="24"/>
        </w:rPr>
        <w:t xml:space="preserve"> 2019</w:t>
      </w:r>
      <w:proofErr w:type="gramStart"/>
      <w:r w:rsidRPr="00C41A83">
        <w:rPr>
          <w:rFonts w:ascii="Times New Roman" w:hAnsi="Times New Roman" w:cs="Times New Roman"/>
          <w:sz w:val="24"/>
          <w:szCs w:val="24"/>
        </w:rPr>
        <w:t>;61</w:t>
      </w:r>
      <w:proofErr w:type="gramEnd"/>
      <w:r w:rsidRPr="00C41A83">
        <w:rPr>
          <w:rFonts w:ascii="Times New Roman" w:hAnsi="Times New Roman" w:cs="Times New Roman"/>
          <w:sz w:val="24"/>
          <w:szCs w:val="24"/>
        </w:rPr>
        <w:t>(3): 404-410.</w:t>
      </w:r>
    </w:p>
    <w:p w:rsidR="004B65EB" w:rsidRPr="00AB2E5E" w:rsidRDefault="004B65EB" w:rsidP="004B65E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725DF" wp14:editId="69C4B9E5">
                <wp:simplePos x="0" y="0"/>
                <wp:positionH relativeFrom="column">
                  <wp:posOffset>92467</wp:posOffset>
                </wp:positionH>
                <wp:positionV relativeFrom="paragraph">
                  <wp:posOffset>13578</wp:posOffset>
                </wp:positionV>
                <wp:extent cx="1133475" cy="1283335"/>
                <wp:effectExtent l="0" t="0" r="28575" b="1206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E1F" w:rsidRDefault="00F119CD" w:rsidP="00F27E1F">
                            <w:r w:rsidRPr="00F119CD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044165" cy="1198720"/>
                                  <wp:effectExtent l="0" t="0" r="3810" b="190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4165" cy="1198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725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3pt;margin-top:1.05pt;width:89.25pt;height:10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uZ0MDdAAAACAEAAA8AAABkcnMvZG93bnJl&#10;di54bWxMj8FOwzAQRO9I/IO1SFwQdZpGoQ1xKoQEghuUqlzdeJtE2OsQu2n4e7YnuO3TjGZnyvXk&#10;rBhxCJ0nBfNZAgKp9qajRsH24+l2CSJETUZbT6jgBwOsq8uLUhfGn+gdx01sBIdQKLSCNsa+kDLU&#10;LTodZr5HYu3gB6cj49BIM+gThzsr0yTJpdMd8YdW9/jYYv21OToFy+xl/Ayvi7ddnR/sKt7cjc/f&#10;g1LXV9PDPYiIU/wzw7k+V4eKO+39kUwQljnL2akgnYM4y6sFH3vmJEtBVqX8P6D6BQ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uZ0MDdAAAACAEAAA8AAAAAAAAAAAAAAAAAhQQAAGRy&#10;cy9kb3ducmV2LnhtbFBLBQYAAAAABAAEAPMAAACPBQAAAAA=&#10;">
                <v:textbox>
                  <w:txbxContent>
                    <w:p w:rsidR="00F27E1F" w:rsidRDefault="00F119CD" w:rsidP="00F27E1F">
                      <w:r w:rsidRPr="00F119CD"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044165" cy="1198720"/>
                            <wp:effectExtent l="0" t="0" r="3810" b="190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4165" cy="1198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</w:p>
    <w:p w:rsidR="00F27E1F" w:rsidRPr="00AB2E5E" w:rsidRDefault="00F27E1F" w:rsidP="00F27E1F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A87CC6" w:rsidRPr="00A87CC6" w:rsidRDefault="000E613D" w:rsidP="00A047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 R. </w:t>
      </w:r>
      <w:r w:rsidR="00A87CC6">
        <w:rPr>
          <w:rFonts w:ascii="Times New Roman" w:hAnsi="Times New Roman" w:cs="Times New Roman"/>
          <w:sz w:val="24"/>
          <w:szCs w:val="24"/>
        </w:rPr>
        <w:t>Stankova</w:t>
      </w:r>
      <w:r w:rsidR="007265E6">
        <w:rPr>
          <w:rFonts w:ascii="Times New Roman" w:hAnsi="Times New Roman" w:cs="Times New Roman"/>
          <w:sz w:val="24"/>
          <w:szCs w:val="24"/>
        </w:rPr>
        <w:t xml:space="preserve"> is currently a</w:t>
      </w:r>
      <w:r w:rsidR="00A87CC6" w:rsidRPr="00A87CC6">
        <w:rPr>
          <w:rFonts w:ascii="Times New Roman" w:hAnsi="Times New Roman" w:cs="Times New Roman"/>
          <w:sz w:val="24"/>
          <w:szCs w:val="24"/>
        </w:rPr>
        <w:t xml:space="preserve"> PhD </w:t>
      </w:r>
      <w:r w:rsidR="007265E6">
        <w:rPr>
          <w:rFonts w:ascii="Times New Roman" w:hAnsi="Times New Roman" w:cs="Times New Roman"/>
          <w:sz w:val="24"/>
          <w:szCs w:val="24"/>
        </w:rPr>
        <w:t xml:space="preserve">student </w:t>
      </w:r>
      <w:r w:rsidR="000B2424">
        <w:rPr>
          <w:rFonts w:ascii="Times New Roman" w:hAnsi="Times New Roman" w:cs="Times New Roman"/>
          <w:sz w:val="24"/>
          <w:szCs w:val="24"/>
        </w:rPr>
        <w:t xml:space="preserve">and </w:t>
      </w:r>
      <w:r w:rsidR="00BD5657">
        <w:rPr>
          <w:rFonts w:ascii="Times New Roman" w:hAnsi="Times New Roman" w:cs="Times New Roman"/>
          <w:sz w:val="24"/>
          <w:szCs w:val="24"/>
        </w:rPr>
        <w:t xml:space="preserve">an </w:t>
      </w:r>
      <w:r w:rsidR="000B2424">
        <w:rPr>
          <w:rFonts w:ascii="Times New Roman" w:hAnsi="Times New Roman" w:cs="Times New Roman"/>
          <w:sz w:val="24"/>
          <w:szCs w:val="24"/>
        </w:rPr>
        <w:t xml:space="preserve">assistant professor in the </w:t>
      </w:r>
      <w:r w:rsidR="000B2424" w:rsidRPr="000B2424">
        <w:rPr>
          <w:rFonts w:ascii="Times New Roman" w:hAnsi="Times New Roman" w:cs="Times New Roman"/>
          <w:sz w:val="24"/>
          <w:szCs w:val="24"/>
        </w:rPr>
        <w:t>Department of Biochemistry</w:t>
      </w:r>
      <w:r w:rsidR="000B2424">
        <w:rPr>
          <w:rFonts w:ascii="Times New Roman" w:hAnsi="Times New Roman" w:cs="Times New Roman"/>
          <w:sz w:val="24"/>
          <w:szCs w:val="24"/>
        </w:rPr>
        <w:t xml:space="preserve">, </w:t>
      </w:r>
      <w:r w:rsidR="007265E6" w:rsidRPr="007265E6">
        <w:rPr>
          <w:rFonts w:ascii="Times New Roman" w:hAnsi="Times New Roman" w:cs="Times New Roman"/>
          <w:sz w:val="24"/>
          <w:szCs w:val="24"/>
        </w:rPr>
        <w:t>Medical University – Plovdiv</w:t>
      </w:r>
      <w:r w:rsidR="007265E6">
        <w:rPr>
          <w:rFonts w:ascii="Times New Roman" w:hAnsi="Times New Roman" w:cs="Times New Roman"/>
          <w:sz w:val="24"/>
          <w:szCs w:val="24"/>
        </w:rPr>
        <w:t xml:space="preserve">, Bulgaria. She </w:t>
      </w:r>
      <w:r w:rsidR="0010572A">
        <w:rPr>
          <w:rFonts w:ascii="Times New Roman" w:hAnsi="Times New Roman" w:cs="Times New Roman"/>
          <w:sz w:val="24"/>
          <w:szCs w:val="24"/>
        </w:rPr>
        <w:t>graduated</w:t>
      </w:r>
      <w:r w:rsidR="00CF7BDF">
        <w:rPr>
          <w:rFonts w:ascii="Times New Roman" w:hAnsi="Times New Roman" w:cs="Times New Roman"/>
          <w:sz w:val="24"/>
          <w:szCs w:val="24"/>
        </w:rPr>
        <w:t xml:space="preserve"> in Pharmacy</w:t>
      </w:r>
      <w:r>
        <w:rPr>
          <w:rFonts w:ascii="Times New Roman" w:hAnsi="Times New Roman" w:cs="Times New Roman"/>
          <w:sz w:val="24"/>
          <w:szCs w:val="24"/>
        </w:rPr>
        <w:t xml:space="preserve"> with honours</w:t>
      </w:r>
      <w:r w:rsidR="007265E6">
        <w:rPr>
          <w:rFonts w:ascii="Times New Roman" w:hAnsi="Times New Roman" w:cs="Times New Roman"/>
          <w:sz w:val="24"/>
          <w:szCs w:val="24"/>
        </w:rPr>
        <w:t xml:space="preserve"> </w:t>
      </w:r>
      <w:r w:rsidR="003933DC">
        <w:rPr>
          <w:rFonts w:ascii="Times New Roman" w:hAnsi="Times New Roman" w:cs="Times New Roman"/>
          <w:sz w:val="24"/>
          <w:szCs w:val="24"/>
        </w:rPr>
        <w:t>from</w:t>
      </w:r>
      <w:r w:rsidR="0010572A">
        <w:rPr>
          <w:rFonts w:ascii="Times New Roman" w:hAnsi="Times New Roman" w:cs="Times New Roman"/>
          <w:sz w:val="24"/>
          <w:szCs w:val="24"/>
        </w:rPr>
        <w:t xml:space="preserve"> </w:t>
      </w:r>
      <w:r w:rsidR="007265E6">
        <w:rPr>
          <w:rFonts w:ascii="Times New Roman" w:hAnsi="Times New Roman" w:cs="Times New Roman"/>
          <w:sz w:val="24"/>
          <w:szCs w:val="24"/>
        </w:rPr>
        <w:t xml:space="preserve">the same university. </w:t>
      </w:r>
      <w:r w:rsidR="000B447B">
        <w:rPr>
          <w:rFonts w:ascii="Times New Roman" w:hAnsi="Times New Roman" w:cs="Times New Roman"/>
          <w:sz w:val="24"/>
          <w:szCs w:val="24"/>
        </w:rPr>
        <w:t>So far, s</w:t>
      </w:r>
      <w:r w:rsidR="007265E6">
        <w:rPr>
          <w:rFonts w:ascii="Times New Roman" w:hAnsi="Times New Roman" w:cs="Times New Roman"/>
          <w:sz w:val="24"/>
          <w:szCs w:val="24"/>
        </w:rPr>
        <w:t xml:space="preserve">he </w:t>
      </w:r>
      <w:r w:rsidR="00BD5657">
        <w:rPr>
          <w:rFonts w:ascii="Times New Roman" w:hAnsi="Times New Roman" w:cs="Times New Roman"/>
          <w:sz w:val="24"/>
          <w:szCs w:val="24"/>
        </w:rPr>
        <w:t>has</w:t>
      </w:r>
      <w:r w:rsidR="000B447B">
        <w:rPr>
          <w:rFonts w:ascii="Times New Roman" w:hAnsi="Times New Roman" w:cs="Times New Roman"/>
          <w:sz w:val="24"/>
          <w:szCs w:val="24"/>
        </w:rPr>
        <w:t xml:space="preserve"> taken part in </w:t>
      </w:r>
      <w:r w:rsidR="004C0592">
        <w:rPr>
          <w:rFonts w:ascii="Times New Roman" w:hAnsi="Times New Roman" w:cs="Times New Roman"/>
          <w:sz w:val="24"/>
          <w:szCs w:val="24"/>
        </w:rPr>
        <w:t>4</w:t>
      </w:r>
      <w:r w:rsidR="000B447B">
        <w:rPr>
          <w:rFonts w:ascii="Times New Roman" w:hAnsi="Times New Roman" w:cs="Times New Roman"/>
          <w:sz w:val="24"/>
          <w:szCs w:val="24"/>
        </w:rPr>
        <w:t xml:space="preserve"> scientific projects</w:t>
      </w:r>
      <w:r w:rsidR="00A87CC6" w:rsidRPr="00A87CC6">
        <w:rPr>
          <w:rFonts w:ascii="Times New Roman" w:hAnsi="Times New Roman" w:cs="Times New Roman"/>
          <w:sz w:val="24"/>
          <w:szCs w:val="24"/>
        </w:rPr>
        <w:t xml:space="preserve"> a</w:t>
      </w:r>
      <w:r w:rsidR="000B447B">
        <w:rPr>
          <w:rFonts w:ascii="Times New Roman" w:hAnsi="Times New Roman" w:cs="Times New Roman"/>
          <w:sz w:val="24"/>
          <w:szCs w:val="24"/>
        </w:rPr>
        <w:t>nd more than 20 scientific conferences and workshops. She</w:t>
      </w:r>
      <w:r w:rsidR="00A87CC6" w:rsidRPr="00A87CC6">
        <w:rPr>
          <w:rFonts w:ascii="Times New Roman" w:hAnsi="Times New Roman" w:cs="Times New Roman"/>
          <w:sz w:val="24"/>
          <w:szCs w:val="24"/>
        </w:rPr>
        <w:t xml:space="preserve"> has published more than </w:t>
      </w:r>
      <w:r w:rsidR="000B447B">
        <w:rPr>
          <w:rFonts w:ascii="Times New Roman" w:hAnsi="Times New Roman" w:cs="Times New Roman"/>
          <w:sz w:val="24"/>
          <w:szCs w:val="24"/>
        </w:rPr>
        <w:t>1</w:t>
      </w:r>
      <w:r w:rsidR="001E401C">
        <w:rPr>
          <w:rFonts w:ascii="Times New Roman" w:hAnsi="Times New Roman" w:cs="Times New Roman"/>
          <w:sz w:val="24"/>
          <w:szCs w:val="24"/>
        </w:rPr>
        <w:t>5</w:t>
      </w:r>
      <w:r w:rsidR="00BD5657">
        <w:rPr>
          <w:rFonts w:ascii="Times New Roman" w:hAnsi="Times New Roman" w:cs="Times New Roman"/>
          <w:sz w:val="24"/>
          <w:szCs w:val="24"/>
        </w:rPr>
        <w:t xml:space="preserve"> papers.</w:t>
      </w:r>
    </w:p>
    <w:p w:rsidR="00CF7A53" w:rsidRPr="00AB2E5E" w:rsidRDefault="00CF7A53" w:rsidP="00A047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42D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  <w:r w:rsidR="009B1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B1EEE">
        <w:rPr>
          <w:rFonts w:ascii="Times New Roman" w:hAnsi="Times New Roman" w:cs="Times New Roman"/>
          <w:b/>
          <w:sz w:val="24"/>
          <w:szCs w:val="24"/>
        </w:rPr>
        <w:t>tedy</w:t>
      </w:r>
      <w:proofErr w:type="spellEnd"/>
      <w:r w:rsidR="009B1EEE">
        <w:rPr>
          <w:rFonts w:ascii="Times New Roman" w:hAnsi="Times New Roman" w:cs="Times New Roman"/>
          <w:b/>
          <w:sz w:val="24"/>
          <w:szCs w:val="24"/>
        </w:rPr>
        <w:t>. stankova@gmail.com</w:t>
      </w:r>
    </w:p>
    <w:p w:rsidR="009A742D" w:rsidRPr="00ED6C99" w:rsidRDefault="009A742D" w:rsidP="00470D6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A742D" w:rsidRPr="00ED6C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FD"/>
    <w:rsid w:val="000040A1"/>
    <w:rsid w:val="00014C9E"/>
    <w:rsid w:val="00022A5A"/>
    <w:rsid w:val="0002730A"/>
    <w:rsid w:val="000273F6"/>
    <w:rsid w:val="00052555"/>
    <w:rsid w:val="00063ACA"/>
    <w:rsid w:val="000666C0"/>
    <w:rsid w:val="000677A0"/>
    <w:rsid w:val="000B2424"/>
    <w:rsid w:val="000B447B"/>
    <w:rsid w:val="000C6353"/>
    <w:rsid w:val="000E613D"/>
    <w:rsid w:val="001028DF"/>
    <w:rsid w:val="0010572A"/>
    <w:rsid w:val="001250FD"/>
    <w:rsid w:val="00125408"/>
    <w:rsid w:val="0017315A"/>
    <w:rsid w:val="00175587"/>
    <w:rsid w:val="00187C13"/>
    <w:rsid w:val="001954D5"/>
    <w:rsid w:val="001B4DC7"/>
    <w:rsid w:val="001C2758"/>
    <w:rsid w:val="001E1535"/>
    <w:rsid w:val="001E2B0B"/>
    <w:rsid w:val="001E401C"/>
    <w:rsid w:val="0021557F"/>
    <w:rsid w:val="00245378"/>
    <w:rsid w:val="002A5EFA"/>
    <w:rsid w:val="002B0C59"/>
    <w:rsid w:val="002B4AC0"/>
    <w:rsid w:val="002F090C"/>
    <w:rsid w:val="003169D6"/>
    <w:rsid w:val="00330A04"/>
    <w:rsid w:val="003414F8"/>
    <w:rsid w:val="0034464B"/>
    <w:rsid w:val="003933DC"/>
    <w:rsid w:val="00403869"/>
    <w:rsid w:val="00417846"/>
    <w:rsid w:val="00444B62"/>
    <w:rsid w:val="00446577"/>
    <w:rsid w:val="00470D62"/>
    <w:rsid w:val="004844AE"/>
    <w:rsid w:val="004B65EB"/>
    <w:rsid w:val="004C0592"/>
    <w:rsid w:val="004F3BD8"/>
    <w:rsid w:val="00501047"/>
    <w:rsid w:val="005068CF"/>
    <w:rsid w:val="00507DA0"/>
    <w:rsid w:val="00510E29"/>
    <w:rsid w:val="005344BA"/>
    <w:rsid w:val="00534751"/>
    <w:rsid w:val="00537C3B"/>
    <w:rsid w:val="00557FE5"/>
    <w:rsid w:val="00566990"/>
    <w:rsid w:val="00575EB2"/>
    <w:rsid w:val="005E57E2"/>
    <w:rsid w:val="005F5842"/>
    <w:rsid w:val="00600ECF"/>
    <w:rsid w:val="00613E0A"/>
    <w:rsid w:val="006259CD"/>
    <w:rsid w:val="00627EE4"/>
    <w:rsid w:val="00636D10"/>
    <w:rsid w:val="0064687D"/>
    <w:rsid w:val="00652BC5"/>
    <w:rsid w:val="00654111"/>
    <w:rsid w:val="006632D9"/>
    <w:rsid w:val="00666569"/>
    <w:rsid w:val="00680162"/>
    <w:rsid w:val="006814DF"/>
    <w:rsid w:val="00683A65"/>
    <w:rsid w:val="006A26A0"/>
    <w:rsid w:val="006A4E19"/>
    <w:rsid w:val="006B4D86"/>
    <w:rsid w:val="006F3B3D"/>
    <w:rsid w:val="00706882"/>
    <w:rsid w:val="00706934"/>
    <w:rsid w:val="00717FEF"/>
    <w:rsid w:val="007265E6"/>
    <w:rsid w:val="00757826"/>
    <w:rsid w:val="00765AD3"/>
    <w:rsid w:val="00781B1E"/>
    <w:rsid w:val="007D1700"/>
    <w:rsid w:val="007E5B1D"/>
    <w:rsid w:val="008020BF"/>
    <w:rsid w:val="00820461"/>
    <w:rsid w:val="00830041"/>
    <w:rsid w:val="00836CAC"/>
    <w:rsid w:val="00851B3B"/>
    <w:rsid w:val="008551AD"/>
    <w:rsid w:val="00857E2E"/>
    <w:rsid w:val="008956ED"/>
    <w:rsid w:val="008975CB"/>
    <w:rsid w:val="009476D7"/>
    <w:rsid w:val="00974F9E"/>
    <w:rsid w:val="009A742D"/>
    <w:rsid w:val="009A79F9"/>
    <w:rsid w:val="009B1EEE"/>
    <w:rsid w:val="009D7487"/>
    <w:rsid w:val="009E0FFD"/>
    <w:rsid w:val="00A0192A"/>
    <w:rsid w:val="00A047A0"/>
    <w:rsid w:val="00A6350B"/>
    <w:rsid w:val="00A672F4"/>
    <w:rsid w:val="00A87CC6"/>
    <w:rsid w:val="00A90DE2"/>
    <w:rsid w:val="00A965A2"/>
    <w:rsid w:val="00AA7F74"/>
    <w:rsid w:val="00AB0498"/>
    <w:rsid w:val="00AB2E5E"/>
    <w:rsid w:val="00AB4CAB"/>
    <w:rsid w:val="00AB53EE"/>
    <w:rsid w:val="00AC61C8"/>
    <w:rsid w:val="00AE2211"/>
    <w:rsid w:val="00AE59BC"/>
    <w:rsid w:val="00B13C8D"/>
    <w:rsid w:val="00B151DF"/>
    <w:rsid w:val="00B15D81"/>
    <w:rsid w:val="00B53735"/>
    <w:rsid w:val="00B92493"/>
    <w:rsid w:val="00BC4510"/>
    <w:rsid w:val="00BD3B36"/>
    <w:rsid w:val="00BD5657"/>
    <w:rsid w:val="00C10FE7"/>
    <w:rsid w:val="00C21CAB"/>
    <w:rsid w:val="00C340E4"/>
    <w:rsid w:val="00C41A83"/>
    <w:rsid w:val="00C455DB"/>
    <w:rsid w:val="00C539CA"/>
    <w:rsid w:val="00C56683"/>
    <w:rsid w:val="00CB2DC4"/>
    <w:rsid w:val="00CC14EC"/>
    <w:rsid w:val="00CE3A7B"/>
    <w:rsid w:val="00CE682F"/>
    <w:rsid w:val="00CF7A53"/>
    <w:rsid w:val="00CF7BDF"/>
    <w:rsid w:val="00D04158"/>
    <w:rsid w:val="00D40D07"/>
    <w:rsid w:val="00D418AB"/>
    <w:rsid w:val="00D43B9F"/>
    <w:rsid w:val="00D5093F"/>
    <w:rsid w:val="00D73FE6"/>
    <w:rsid w:val="00D92507"/>
    <w:rsid w:val="00DB3539"/>
    <w:rsid w:val="00DF1A1C"/>
    <w:rsid w:val="00E25507"/>
    <w:rsid w:val="00E56CE0"/>
    <w:rsid w:val="00E90010"/>
    <w:rsid w:val="00EB1166"/>
    <w:rsid w:val="00EB7D3C"/>
    <w:rsid w:val="00EC2BDF"/>
    <w:rsid w:val="00ED6C99"/>
    <w:rsid w:val="00F03543"/>
    <w:rsid w:val="00F119CD"/>
    <w:rsid w:val="00F27E1F"/>
    <w:rsid w:val="00F56C21"/>
    <w:rsid w:val="00F62E90"/>
    <w:rsid w:val="00F668EE"/>
    <w:rsid w:val="00F916E8"/>
    <w:rsid w:val="00FA0FC3"/>
    <w:rsid w:val="00FB727B"/>
    <w:rsid w:val="00FD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B5CB79-3FC1-4F18-BAA1-380B40E4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TS</cp:lastModifiedBy>
  <cp:revision>162</cp:revision>
  <dcterms:created xsi:type="dcterms:W3CDTF">2019-10-09T05:03:00Z</dcterms:created>
  <dcterms:modified xsi:type="dcterms:W3CDTF">2020-03-20T18:27:00Z</dcterms:modified>
</cp:coreProperties>
</file>