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8FF" w:rsidRDefault="00E81630" w:rsidP="00041C65">
      <w:pPr>
        <w:rPr>
          <w:rFonts w:eastAsia="MS PGothic"/>
          <w:b/>
          <w:color w:val="000000"/>
          <w:sz w:val="28"/>
          <w:szCs w:val="28"/>
        </w:rPr>
      </w:pPr>
      <w:r>
        <w:rPr>
          <w:rFonts w:eastAsia="MS PGothic"/>
          <w:b/>
          <w:color w:val="000000"/>
          <w:sz w:val="28"/>
          <w:szCs w:val="28"/>
        </w:rPr>
        <w:t xml:space="preserve">                                                                    </w:t>
      </w:r>
      <w:r>
        <w:rPr>
          <w:rFonts w:eastAsia="MS PGothic"/>
          <w:b/>
          <w:noProof/>
          <w:color w:val="000000"/>
          <w:sz w:val="28"/>
          <w:szCs w:val="28"/>
          <w:lang w:val="en-US" w:eastAsia="en-US"/>
        </w:rPr>
        <w:drawing>
          <wp:inline distT="0" distB="0" distL="0" distR="0">
            <wp:extent cx="1789871" cy="2077278"/>
            <wp:effectExtent l="19050" t="0" r="829" b="0"/>
            <wp:docPr id="1" name="Picture 1" descr="C:\Users\Dell\Desktop\My Important Files\My photographs\Gech cro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My Important Files\My photographs\Gech croped.jpg"/>
                    <pic:cNvPicPr>
                      <a:picLocks noChangeAspect="1" noChangeArrowheads="1"/>
                    </pic:cNvPicPr>
                  </pic:nvPicPr>
                  <pic:blipFill>
                    <a:blip r:embed="rId4" cstate="print"/>
                    <a:srcRect/>
                    <a:stretch>
                      <a:fillRect/>
                    </a:stretch>
                  </pic:blipFill>
                  <pic:spPr bwMode="auto">
                    <a:xfrm>
                      <a:off x="0" y="0"/>
                      <a:ext cx="1790295" cy="2077770"/>
                    </a:xfrm>
                    <a:prstGeom prst="rect">
                      <a:avLst/>
                    </a:prstGeom>
                    <a:noFill/>
                    <a:ln w="9525">
                      <a:noFill/>
                      <a:miter lim="800000"/>
                      <a:headEnd/>
                      <a:tailEnd/>
                    </a:ln>
                  </pic:spPr>
                </pic:pic>
              </a:graphicData>
            </a:graphic>
          </wp:inline>
        </w:drawing>
      </w:r>
    </w:p>
    <w:p w:rsidR="005418FF" w:rsidRDefault="005418FF" w:rsidP="00041C65">
      <w:pPr>
        <w:rPr>
          <w:rFonts w:eastAsia="MS PGothic"/>
          <w:b/>
          <w:color w:val="000000"/>
          <w:sz w:val="28"/>
          <w:szCs w:val="28"/>
        </w:rPr>
      </w:pPr>
    </w:p>
    <w:p w:rsidR="00041C65" w:rsidRDefault="00041C65" w:rsidP="00041C65">
      <w:pPr>
        <w:rPr>
          <w:rFonts w:eastAsia="MS PGothic"/>
          <w:b/>
          <w:color w:val="000000"/>
          <w:sz w:val="28"/>
          <w:szCs w:val="28"/>
        </w:rPr>
      </w:pPr>
      <w:r>
        <w:rPr>
          <w:rFonts w:eastAsia="MS PGothic"/>
          <w:b/>
          <w:color w:val="000000"/>
          <w:sz w:val="28"/>
          <w:szCs w:val="28"/>
        </w:rPr>
        <w:t>Title: Sight Threatning Diabetic Retinopathy among Diabetic Patients at Diabetic Patients</w:t>
      </w:r>
    </w:p>
    <w:p w:rsidR="00041C65" w:rsidRDefault="00041C65" w:rsidP="00041C65">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Mrs Getasew Alemu</w:t>
      </w:r>
    </w:p>
    <w:p w:rsidR="00041C65" w:rsidRDefault="00041C65" w:rsidP="00041C65">
      <w:pPr>
        <w:rPr>
          <w:rFonts w:eastAsia="MS PGothic" w:hAnsi="Arial"/>
          <w:color w:val="000000"/>
        </w:rPr>
      </w:pPr>
      <w:r>
        <w:rPr>
          <w:b/>
          <w:sz w:val="28"/>
          <w:szCs w:val="28"/>
        </w:rPr>
        <w:t xml:space="preserve">           </w:t>
      </w:r>
      <w:r>
        <w:rPr>
          <w:rFonts w:eastAsia="MS PGothic" w:hAnsi="Arial"/>
          <w:color w:val="000000"/>
        </w:rPr>
        <w:t>University of Gondar School of Medicine, Department of Optometry Gondar, Ethiopia</w:t>
      </w:r>
    </w:p>
    <w:p w:rsidR="003E1BA5" w:rsidRDefault="003E1BA5" w:rsidP="00041C65">
      <w:pPr>
        <w:rPr>
          <w:rFonts w:eastAsia="MS PGothic" w:hAnsi="Arial"/>
          <w:color w:val="000000"/>
        </w:rPr>
      </w:pPr>
    </w:p>
    <w:p w:rsidR="003E1BA5" w:rsidRPr="003E1BA5" w:rsidRDefault="003E1BA5" w:rsidP="003E1BA5">
      <w:pPr>
        <w:spacing w:line="360" w:lineRule="auto"/>
        <w:ind w:left="360"/>
      </w:pPr>
      <w:r w:rsidRPr="003E1BA5">
        <w:rPr>
          <w:b/>
        </w:rPr>
        <w:t>Background:</w:t>
      </w:r>
      <w:r>
        <w:t xml:space="preserve"> </w:t>
      </w:r>
      <w:r w:rsidRPr="003E1BA5">
        <w:t>Sight Threatening Diabetic Retinopathy (STDR) is an advanced microvascular of complication of diabetes on eye. It remains one of the leading causes of preventable blindness among working age adults around the world. There is paucity of evidence on the prevalence of STDR and its</w:t>
      </w:r>
      <w:r>
        <w:t xml:space="preserve"> associated factors in Ethiopia. </w:t>
      </w:r>
      <w:r w:rsidRPr="003E1BA5">
        <w:t>Therefore, our study was aimed to determine the prevalence of STDR and its associated factors among adult diabetes at Debre Tabor General Hospital (DTGH), Northwest, Ethiopia.</w:t>
      </w:r>
    </w:p>
    <w:p w:rsidR="003E1BA5" w:rsidRDefault="003E1BA5" w:rsidP="003E1BA5">
      <w:pPr>
        <w:spacing w:line="360" w:lineRule="auto"/>
        <w:ind w:left="360"/>
      </w:pPr>
      <w:r w:rsidRPr="003E1BA5">
        <w:rPr>
          <w:b/>
        </w:rPr>
        <w:t>Materials and Methods:</w:t>
      </w:r>
      <w:r w:rsidRPr="003E1BA5">
        <w:t xml:space="preserve"> An institution based cross sectional stu</w:t>
      </w:r>
      <w:r w:rsidR="000C1E7C">
        <w:t xml:space="preserve">dy was conducted on 306 diabetic patients selected </w:t>
      </w:r>
      <w:r w:rsidRPr="003E1BA5">
        <w:t xml:space="preserve">with systematic random sampling technique. </w:t>
      </w:r>
      <w:r w:rsidR="000C1E7C">
        <w:t>S</w:t>
      </w:r>
      <w:r w:rsidRPr="003E1BA5">
        <w:t xml:space="preserve">tructured questioner, document review and physical examination were applied to collect the data. </w:t>
      </w:r>
      <w:r>
        <w:t xml:space="preserve">Discriptive and anayltical statistics were performed. </w:t>
      </w:r>
    </w:p>
    <w:p w:rsidR="003E1BA5" w:rsidRPr="003E1BA5" w:rsidRDefault="003E1BA5" w:rsidP="003E1BA5">
      <w:pPr>
        <w:spacing w:line="360" w:lineRule="auto"/>
        <w:ind w:left="360"/>
      </w:pPr>
      <w:r w:rsidRPr="003E1BA5">
        <w:rPr>
          <w:b/>
        </w:rPr>
        <w:t>Result:</w:t>
      </w:r>
      <w:r w:rsidRPr="003E1BA5">
        <w:t xml:space="preserve"> </w:t>
      </w:r>
      <w:r w:rsidR="000C1E7C">
        <w:rPr>
          <w:color w:val="000000"/>
        </w:rPr>
        <w:t>T</w:t>
      </w:r>
      <w:r w:rsidRPr="003E1BA5">
        <w:rPr>
          <w:color w:val="000000"/>
        </w:rPr>
        <w:t>the mean age of T1 and T2 DM participants was 34.5 (12.8) and 58.7 (10.7) years respectively. The prevalence of STDR was 15.3% (95 CI: 9.6%-20.9%) and 11.9% (6.6-17.5) in T1DM and T2DM respectively. Low family monthly income (Adjusted Odds Ratio (AOR) =4.4, 95% CI: 1.05-18.40) among T2DM, longer duration of diabetes (AOR=10.9, 95% CI: 2.94-40.4) among T1DM (AOR=3.54, 95 CI: 1.06-11.8)among T2DM and poor glycemic control (AOR=3.93, 95%CI: 1.06-14.5) and hypertension (AOR=5.86, 95%CI: 1.20-28.6) among T1DM and BMI (AOR=4.79,95 CI: 1.35-17.00) among T2DM</w:t>
      </w:r>
      <w:r>
        <w:rPr>
          <w:color w:val="000000"/>
        </w:rPr>
        <w:t xml:space="preserve"> </w:t>
      </w:r>
      <w:r w:rsidRPr="003E1BA5">
        <w:rPr>
          <w:color w:val="000000"/>
        </w:rPr>
        <w:t>were significantly associated with STDR.</w:t>
      </w:r>
    </w:p>
    <w:p w:rsidR="003E1BA5" w:rsidRPr="00EA0B85" w:rsidRDefault="003E1BA5" w:rsidP="00EA0B85">
      <w:pPr>
        <w:spacing w:line="360" w:lineRule="auto"/>
        <w:ind w:left="360"/>
      </w:pPr>
      <w:r w:rsidRPr="003E1BA5">
        <w:rPr>
          <w:b/>
        </w:rPr>
        <w:lastRenderedPageBreak/>
        <w:t>Conclusion and Recommendation</w:t>
      </w:r>
      <w:r w:rsidRPr="003E1BA5">
        <w:t xml:space="preserve">: The prevalence of STDR was high. Low family monthly income, longer duration of diabetes, poor glycemic control, hypertension and obesity were positively associated with STDR. Early screening of STDR and improve diabetes self management in all diabetes patients were recommended. </w:t>
      </w:r>
    </w:p>
    <w:p w:rsidR="003E1BA5" w:rsidRDefault="003E1BA5" w:rsidP="00041C65">
      <w:pPr>
        <w:ind w:firstLine="720"/>
        <w:jc w:val="both"/>
        <w:rPr>
          <w:color w:val="000000"/>
        </w:rPr>
      </w:pPr>
    </w:p>
    <w:p w:rsidR="00041C65" w:rsidRDefault="00041C65" w:rsidP="00041C65">
      <w:pPr>
        <w:ind w:firstLine="720"/>
        <w:jc w:val="both"/>
        <w:rPr>
          <w:color w:val="000000"/>
        </w:rPr>
      </w:pPr>
      <w:r>
        <w:rPr>
          <w:color w:val="000000"/>
        </w:rPr>
        <w:t>(Up to 250 words)</w:t>
      </w:r>
    </w:p>
    <w:p w:rsidR="00041C65" w:rsidRDefault="00041C65" w:rsidP="00041C65">
      <w:pPr>
        <w:jc w:val="both"/>
        <w:rPr>
          <w:color w:val="000000"/>
        </w:rPr>
      </w:pPr>
    </w:p>
    <w:p w:rsidR="00041C65" w:rsidRDefault="00041C65" w:rsidP="00041C65">
      <w:pPr>
        <w:jc w:val="both"/>
        <w:rPr>
          <w:b/>
        </w:rPr>
      </w:pPr>
    </w:p>
    <w:p w:rsidR="00EA0B85" w:rsidRDefault="00EA0B85" w:rsidP="00041C65">
      <w:pPr>
        <w:jc w:val="both"/>
        <w:rPr>
          <w:b/>
        </w:rPr>
      </w:pPr>
    </w:p>
    <w:p w:rsidR="00EA0B85" w:rsidRDefault="00EA0B85" w:rsidP="00041C65">
      <w:pPr>
        <w:jc w:val="both"/>
        <w:rPr>
          <w:b/>
        </w:rPr>
      </w:pPr>
    </w:p>
    <w:p w:rsidR="00EA0B85" w:rsidRDefault="00EA0B85" w:rsidP="00041C65">
      <w:pPr>
        <w:jc w:val="both"/>
        <w:rPr>
          <w:b/>
        </w:rPr>
      </w:pPr>
    </w:p>
    <w:p w:rsidR="00041C65" w:rsidRDefault="00041C65" w:rsidP="00041C65">
      <w:pPr>
        <w:jc w:val="both"/>
        <w:rPr>
          <w:b/>
        </w:rPr>
      </w:pPr>
      <w:r>
        <w:rPr>
          <w:b/>
        </w:rPr>
        <w:t>Biography</w:t>
      </w:r>
    </w:p>
    <w:p w:rsidR="00041C65" w:rsidRDefault="00041C65" w:rsidP="00041C65">
      <w:pPr>
        <w:jc w:val="both"/>
        <w:rPr>
          <w:b/>
        </w:rPr>
      </w:pPr>
    </w:p>
    <w:p w:rsidR="00041C65" w:rsidRPr="00A41107" w:rsidRDefault="00041C65" w:rsidP="00041C65">
      <w:pPr>
        <w:jc w:val="both"/>
        <w:rPr>
          <w:rFonts w:eastAsia="MS PGothic"/>
          <w:b/>
          <w:color w:val="000000"/>
          <w:szCs w:val="32"/>
        </w:rPr>
      </w:pPr>
      <w:r>
        <w:t>Getasew Alemu Mersha, has completed his BSc degree at the age of 2</w:t>
      </w:r>
      <w:r w:rsidR="00D20264">
        <w:t>3</w:t>
      </w:r>
      <w:r>
        <w:t xml:space="preserve"> years</w:t>
      </w:r>
      <w:r w:rsidR="00D20264">
        <w:t xml:space="preserve"> and MSc degree at the age of 27</w:t>
      </w:r>
      <w:r>
        <w:t xml:space="preserve"> from University of Gondar School of Medicine</w:t>
      </w:r>
      <w:r w:rsidR="00D20264">
        <w:t>. He is a lecturer and expert optometrist at department of optometry in University of Gondar, He has published more than 4</w:t>
      </w:r>
      <w:r>
        <w:t xml:space="preserve"> papers in</w:t>
      </w:r>
      <w:r w:rsidR="00D20264">
        <w:t xml:space="preserve"> reputed journals.</w:t>
      </w:r>
      <w:r>
        <w:tab/>
      </w:r>
      <w:r>
        <w:br/>
      </w:r>
    </w:p>
    <w:p w:rsidR="00041C65" w:rsidRPr="008A690F" w:rsidRDefault="00041C65" w:rsidP="00041C6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D20264" w:rsidRPr="00EA0B85">
        <w:rPr>
          <w:b/>
          <w:lang w:val="en-NZ"/>
        </w:rPr>
        <w:t>Getasew Alemu</w:t>
      </w:r>
      <w:r w:rsidRPr="008A690F">
        <w:rPr>
          <w:lang w:val="en-NZ"/>
        </w:rPr>
        <w:br/>
        <w:t>Contact number</w:t>
      </w:r>
      <w:r w:rsidR="00D20264" w:rsidRPr="008A690F">
        <w:rPr>
          <w:lang w:val="en-NZ"/>
        </w:rPr>
        <w:t>:</w:t>
      </w:r>
      <w:r w:rsidR="00D20264">
        <w:rPr>
          <w:lang w:val="en-NZ"/>
        </w:rPr>
        <w:t xml:space="preserve"> +</w:t>
      </w:r>
      <w:r w:rsidR="00D20264" w:rsidRPr="00EA0B85">
        <w:rPr>
          <w:b/>
          <w:lang w:val="en-NZ"/>
        </w:rPr>
        <w:t>251 932823935</w:t>
      </w:r>
      <w:r w:rsidRPr="008A690F">
        <w:rPr>
          <w:lang w:val="en-NZ"/>
        </w:rPr>
        <w:br/>
        <w:t>Twitter account</w:t>
      </w:r>
      <w:r w:rsidR="00EA0B85" w:rsidRPr="008A690F">
        <w:rPr>
          <w:lang w:val="en-NZ"/>
        </w:rPr>
        <w:t xml:space="preserve">: </w:t>
      </w:r>
      <w:r w:rsidRPr="008A690F">
        <w:rPr>
          <w:lang w:val="en-NZ"/>
        </w:rPr>
        <w:br/>
        <w:t>Linked In account:</w:t>
      </w:r>
    </w:p>
    <w:p w:rsidR="00041C65" w:rsidRDefault="00041C65" w:rsidP="00041C65">
      <w:pPr>
        <w:autoSpaceDE w:val="0"/>
        <w:autoSpaceDN w:val="0"/>
        <w:adjustRightInd w:val="0"/>
        <w:rPr>
          <w:lang w:val="en-NZ"/>
        </w:rPr>
      </w:pPr>
      <w:r w:rsidRPr="008A690F">
        <w:rPr>
          <w:lang w:val="en-NZ"/>
        </w:rPr>
        <w:t>S</w:t>
      </w:r>
      <w:r w:rsidR="00D20264">
        <w:rPr>
          <w:lang w:val="en-NZ"/>
        </w:rPr>
        <w:t>ession name/ number</w:t>
      </w:r>
      <w:r w:rsidR="00EA0B85">
        <w:rPr>
          <w:lang w:val="en-NZ"/>
        </w:rPr>
        <w:t xml:space="preserve">: </w:t>
      </w:r>
      <w:r w:rsidR="00D20264">
        <w:rPr>
          <w:lang w:val="en-NZ"/>
        </w:rPr>
        <w:br/>
        <w:t xml:space="preserve">Category: </w:t>
      </w:r>
      <w:r w:rsidRPr="00EA0B85">
        <w:rPr>
          <w:b/>
          <w:lang w:val="en-NZ"/>
        </w:rPr>
        <w:t>Oral pr</w:t>
      </w:r>
      <w:r w:rsidR="00D20264" w:rsidRPr="00EA0B85">
        <w:rPr>
          <w:b/>
          <w:lang w:val="en-NZ"/>
        </w:rPr>
        <w:t>esentation</w:t>
      </w:r>
      <w:r>
        <w:rPr>
          <w:lang w:val="en-NZ"/>
        </w:rPr>
        <w:br/>
      </w:r>
    </w:p>
    <w:p w:rsidR="00350271" w:rsidRDefault="00350271"/>
    <w:sectPr w:rsidR="00350271" w:rsidSect="003502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041C65"/>
    <w:rsid w:val="00041C65"/>
    <w:rsid w:val="0005438A"/>
    <w:rsid w:val="000A7FAC"/>
    <w:rsid w:val="000C1E7C"/>
    <w:rsid w:val="00350271"/>
    <w:rsid w:val="003E1BA5"/>
    <w:rsid w:val="005418FF"/>
    <w:rsid w:val="00881EE9"/>
    <w:rsid w:val="00890FC2"/>
    <w:rsid w:val="00BC3CF0"/>
    <w:rsid w:val="00D20264"/>
    <w:rsid w:val="00E81630"/>
    <w:rsid w:val="00EA0B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vertAlign w:val="superscript"/>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C65"/>
    <w:pPr>
      <w:spacing w:after="0" w:line="240" w:lineRule="auto"/>
    </w:pPr>
    <w:rPr>
      <w:rFonts w:ascii="Times New Roman" w:eastAsia="Times New Roman" w:hAnsi="Times New Roman" w:cs="Times New Roman"/>
      <w:vertAlign w:val="baseline"/>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630"/>
    <w:rPr>
      <w:rFonts w:ascii="Tahoma" w:hAnsi="Tahoma" w:cs="Tahoma"/>
      <w:sz w:val="16"/>
      <w:szCs w:val="16"/>
    </w:rPr>
  </w:style>
  <w:style w:type="character" w:customStyle="1" w:styleId="BalloonTextChar">
    <w:name w:val="Balloon Text Char"/>
    <w:basedOn w:val="DefaultParagraphFont"/>
    <w:link w:val="BalloonText"/>
    <w:uiPriority w:val="99"/>
    <w:semiHidden/>
    <w:rsid w:val="00E81630"/>
    <w:rPr>
      <w:rFonts w:ascii="Tahoma" w:eastAsia="Times New Roman" w:hAnsi="Tahoma" w:cs="Tahoma"/>
      <w:sz w:val="16"/>
      <w:szCs w:val="16"/>
      <w:vertAlign w:val="baseline"/>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9</cp:revision>
  <dcterms:created xsi:type="dcterms:W3CDTF">2021-09-28T08:15:00Z</dcterms:created>
  <dcterms:modified xsi:type="dcterms:W3CDTF">2021-09-28T09:10:00Z</dcterms:modified>
</cp:coreProperties>
</file>