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C15F4E" w14:textId="77777777" w:rsidR="00AE3E37" w:rsidRPr="003C3FA6" w:rsidRDefault="003C3FA6" w:rsidP="003C3FA6">
      <w:pPr>
        <w:autoSpaceDE w:val="0"/>
        <w:autoSpaceDN w:val="0"/>
        <w:adjustRightInd w:val="0"/>
        <w:spacing w:after="240"/>
        <w:jc w:val="center"/>
        <w:rPr>
          <w:rFonts w:ascii="Times" w:eastAsiaTheme="minorHAnsi" w:hAnsi="Times" w:cs="Times"/>
          <w:b/>
          <w:bCs/>
          <w:sz w:val="24"/>
          <w:szCs w:val="24"/>
        </w:rPr>
      </w:pPr>
      <w:r w:rsidRPr="003C3FA6">
        <w:rPr>
          <w:rFonts w:ascii="Times" w:eastAsiaTheme="minorHAnsi" w:hAnsi="Times" w:cs="Times"/>
          <w:b/>
          <w:bCs/>
          <w:sz w:val="24"/>
          <w:szCs w:val="24"/>
        </w:rPr>
        <w:t>The Benefits of Using the I-Port System on Insulin-Dependent Patients</w:t>
      </w:r>
    </w:p>
    <w:p w14:paraId="44722860" w14:textId="77777777" w:rsidR="003C3FA6" w:rsidRPr="003C3FA6" w:rsidRDefault="003C3FA6" w:rsidP="003C3FA6">
      <w:pPr>
        <w:autoSpaceDE w:val="0"/>
        <w:autoSpaceDN w:val="0"/>
        <w:adjustRightInd w:val="0"/>
        <w:spacing w:after="240"/>
        <w:jc w:val="center"/>
        <w:rPr>
          <w:rFonts w:ascii="Times" w:eastAsiaTheme="minorHAnsi" w:hAnsi="Times" w:cs="Times"/>
          <w:vertAlign w:val="superscript"/>
        </w:rPr>
      </w:pPr>
      <w:r w:rsidRPr="003C3FA6">
        <w:rPr>
          <w:rFonts w:ascii="Times" w:eastAsiaTheme="minorHAnsi" w:hAnsi="Times" w:cs="Times"/>
          <w:b/>
          <w:bCs/>
        </w:rPr>
        <w:t>Amal M. Kha</w:t>
      </w:r>
      <w:r>
        <w:rPr>
          <w:rFonts w:ascii="Times" w:eastAsiaTheme="minorHAnsi" w:hAnsi="Times" w:cs="Times"/>
          <w:b/>
          <w:bCs/>
        </w:rPr>
        <w:t>n, MBBS</w:t>
      </w:r>
      <w:proofErr w:type="gramStart"/>
      <w:r>
        <w:rPr>
          <w:rFonts w:ascii="Times" w:eastAsiaTheme="minorHAnsi" w:hAnsi="Times" w:cs="Times"/>
          <w:b/>
          <w:bCs/>
          <w:vertAlign w:val="superscript"/>
        </w:rPr>
        <w:t>1</w:t>
      </w:r>
      <w:r w:rsidRPr="003C3FA6">
        <w:rPr>
          <w:rFonts w:ascii="Times" w:eastAsiaTheme="minorHAnsi" w:hAnsi="Times" w:cs="Times"/>
          <w:b/>
          <w:bCs/>
        </w:rPr>
        <w:t>;Khaled</w:t>
      </w:r>
      <w:proofErr w:type="gramEnd"/>
      <w:r w:rsidRPr="003C3FA6">
        <w:rPr>
          <w:rFonts w:ascii="Times" w:eastAsiaTheme="minorHAnsi" w:hAnsi="Times" w:cs="Times"/>
          <w:b/>
          <w:bCs/>
        </w:rPr>
        <w:t xml:space="preserve"> A. </w:t>
      </w:r>
      <w:proofErr w:type="spellStart"/>
      <w:r w:rsidRPr="003C3FA6">
        <w:rPr>
          <w:rFonts w:ascii="Times" w:eastAsiaTheme="minorHAnsi" w:hAnsi="Times" w:cs="Times"/>
          <w:b/>
          <w:bCs/>
        </w:rPr>
        <w:t>Alswat</w:t>
      </w:r>
      <w:proofErr w:type="spellEnd"/>
      <w:r w:rsidRPr="003C3FA6">
        <w:rPr>
          <w:rFonts w:ascii="Times" w:eastAsiaTheme="minorHAnsi" w:hAnsi="Times" w:cs="Times"/>
          <w:b/>
          <w:bCs/>
        </w:rPr>
        <w:t>, MBBS, CCD, FACP, FAC</w:t>
      </w:r>
      <w:r>
        <w:rPr>
          <w:rFonts w:ascii="Times" w:eastAsiaTheme="minorHAnsi" w:hAnsi="Times" w:cs="Times"/>
          <w:b/>
          <w:bCs/>
        </w:rPr>
        <w:t>E</w:t>
      </w:r>
      <w:r>
        <w:rPr>
          <w:rFonts w:ascii="Times" w:eastAsiaTheme="minorHAnsi" w:hAnsi="Times" w:cs="Times"/>
          <w:b/>
          <w:bCs/>
          <w:vertAlign w:val="superscript"/>
        </w:rPr>
        <w:t>2</w:t>
      </w:r>
    </w:p>
    <w:p w14:paraId="6A83BA39" w14:textId="77777777" w:rsidR="003C3FA6" w:rsidRPr="003C3FA6" w:rsidRDefault="003C3FA6" w:rsidP="003C3FA6">
      <w:pPr>
        <w:autoSpaceDE w:val="0"/>
        <w:autoSpaceDN w:val="0"/>
        <w:adjustRightInd w:val="0"/>
        <w:spacing w:after="240"/>
        <w:rPr>
          <w:rFonts w:ascii="Times" w:eastAsiaTheme="minorHAnsi" w:hAnsi="Times" w:cs="Times"/>
          <w:sz w:val="20"/>
          <w:szCs w:val="20"/>
          <w:vertAlign w:val="superscript"/>
        </w:rPr>
      </w:pPr>
      <w:r w:rsidRPr="003C3FA6">
        <w:rPr>
          <w:rFonts w:ascii="Times" w:eastAsiaTheme="minorHAnsi" w:hAnsi="Times" w:cs="Times"/>
          <w:sz w:val="20"/>
          <w:szCs w:val="20"/>
          <w:vertAlign w:val="superscript"/>
        </w:rPr>
        <w:t>1</w:t>
      </w:r>
      <w:r w:rsidRPr="003C3FA6">
        <w:rPr>
          <w:rFonts w:ascii="Times New Roman" w:eastAsiaTheme="minorHAnsi" w:hAnsi="Times New Roman" w:cs="Times New Roman"/>
          <w:sz w:val="20"/>
          <w:szCs w:val="20"/>
        </w:rPr>
        <w:t xml:space="preserve">Medical </w:t>
      </w:r>
      <w:proofErr w:type="spellStart"/>
      <w:proofErr w:type="gramStart"/>
      <w:r w:rsidRPr="003C3FA6">
        <w:rPr>
          <w:rFonts w:ascii="Times New Roman" w:eastAsiaTheme="minorHAnsi" w:hAnsi="Times New Roman" w:cs="Times New Roman"/>
          <w:sz w:val="20"/>
          <w:szCs w:val="20"/>
        </w:rPr>
        <w:t>Intern</w:t>
      </w:r>
      <w:r>
        <w:rPr>
          <w:rFonts w:ascii="Times New Roman" w:eastAsiaTheme="minorHAnsi" w:hAnsi="Times New Roman" w:cs="Times New Roman"/>
          <w:sz w:val="20"/>
          <w:szCs w:val="20"/>
        </w:rPr>
        <w:t>,</w:t>
      </w:r>
      <w:r w:rsidRPr="003C3FA6">
        <w:rPr>
          <w:rFonts w:ascii="Times New Roman" w:eastAsiaTheme="minorHAnsi" w:hAnsi="Times New Roman" w:cs="Times New Roman"/>
          <w:sz w:val="20"/>
          <w:szCs w:val="20"/>
        </w:rPr>
        <w:t>Taif</w:t>
      </w:r>
      <w:proofErr w:type="spellEnd"/>
      <w:proofErr w:type="gramEnd"/>
      <w:r w:rsidRPr="003C3FA6">
        <w:rPr>
          <w:rFonts w:ascii="Times New Roman" w:eastAsiaTheme="minorHAnsi" w:hAnsi="Times New Roman" w:cs="Times New Roman"/>
          <w:sz w:val="20"/>
          <w:szCs w:val="20"/>
        </w:rPr>
        <w:t xml:space="preserve"> University School of Medicine</w:t>
      </w:r>
      <w:r>
        <w:rPr>
          <w:rFonts w:ascii="Times New Roman" w:eastAsiaTheme="minorHAnsi" w:hAnsi="Times New Roman" w:cs="Times New Roman"/>
          <w:sz w:val="20"/>
          <w:szCs w:val="20"/>
        </w:rPr>
        <w:t>,</w:t>
      </w:r>
      <w:r w:rsidRPr="003C3FA6">
        <w:rPr>
          <w:rFonts w:ascii="Times New Roman" w:eastAsiaTheme="minorHAnsi" w:hAnsi="Times New Roman" w:cs="Times New Roman"/>
          <w:sz w:val="20"/>
          <w:szCs w:val="20"/>
        </w:rPr>
        <w:t xml:space="preserve"> </w:t>
      </w:r>
      <w:proofErr w:type="spellStart"/>
      <w:r w:rsidRPr="003C3FA6">
        <w:rPr>
          <w:rFonts w:ascii="Times New Roman" w:eastAsiaTheme="minorHAnsi" w:hAnsi="Times New Roman" w:cs="Times New Roman"/>
          <w:sz w:val="20"/>
          <w:szCs w:val="20"/>
        </w:rPr>
        <w:t>Taif</w:t>
      </w:r>
      <w:proofErr w:type="spellEnd"/>
      <w:r w:rsidRPr="003C3FA6">
        <w:rPr>
          <w:rFonts w:ascii="Times New Roman" w:eastAsiaTheme="minorHAnsi" w:hAnsi="Times New Roman" w:cs="Times New Roman"/>
          <w:sz w:val="20"/>
          <w:szCs w:val="20"/>
        </w:rPr>
        <w:t xml:space="preserve">, Saudi Arabia </w:t>
      </w:r>
    </w:p>
    <w:p w14:paraId="5A8C0442" w14:textId="77777777" w:rsidR="00AE3E37" w:rsidRDefault="003C3FA6" w:rsidP="003C3FA6">
      <w:pPr>
        <w:pStyle w:val="BodyText"/>
        <w:rPr>
          <w:rFonts w:ascii="Arial"/>
          <w:sz w:val="20"/>
        </w:rPr>
      </w:pPr>
      <w:r w:rsidRPr="003C3FA6">
        <w:rPr>
          <w:rFonts w:asciiTheme="majorBidi" w:eastAsiaTheme="minorHAnsi" w:hAnsiTheme="majorBidi" w:cstheme="majorBidi"/>
          <w:sz w:val="20"/>
          <w:szCs w:val="20"/>
          <w:vertAlign w:val="superscript"/>
        </w:rPr>
        <w:t>2</w:t>
      </w:r>
      <w:r w:rsidRPr="003C3FA6">
        <w:rPr>
          <w:rFonts w:asciiTheme="majorBidi" w:eastAsiaTheme="minorHAnsi" w:hAnsiTheme="majorBidi" w:cstheme="majorBidi"/>
          <w:sz w:val="20"/>
          <w:szCs w:val="20"/>
        </w:rPr>
        <w:t xml:space="preserve">Dean of Graduate Studies and Associate Professor of Medicine, Consultant Physician of Internal Medicine, Diabetes and Endocrinology in </w:t>
      </w:r>
      <w:proofErr w:type="spellStart"/>
      <w:r w:rsidRPr="003C3FA6">
        <w:rPr>
          <w:rFonts w:asciiTheme="majorBidi" w:eastAsiaTheme="minorHAnsi" w:hAnsiTheme="majorBidi" w:cstheme="majorBidi"/>
          <w:sz w:val="20"/>
          <w:szCs w:val="20"/>
        </w:rPr>
        <w:t>Taif</w:t>
      </w:r>
      <w:proofErr w:type="spellEnd"/>
      <w:r w:rsidRPr="003C3FA6">
        <w:rPr>
          <w:rFonts w:asciiTheme="majorBidi" w:eastAsiaTheme="minorHAnsi" w:hAnsiTheme="majorBidi" w:cstheme="majorBidi"/>
          <w:sz w:val="20"/>
          <w:szCs w:val="20"/>
        </w:rPr>
        <w:t xml:space="preserve"> University, Saudi Arabia.</w:t>
      </w:r>
    </w:p>
    <w:p w14:paraId="488C32DD" w14:textId="77777777" w:rsidR="00AE3E37" w:rsidRDefault="00AE3E37">
      <w:pPr>
        <w:pStyle w:val="BodyText"/>
        <w:spacing w:before="3"/>
        <w:rPr>
          <w:rFonts w:ascii="Arial"/>
          <w:sz w:val="21"/>
        </w:rPr>
      </w:pPr>
    </w:p>
    <w:p w14:paraId="45882EC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477C172" w14:textId="77777777" w:rsidR="00AE3E37" w:rsidRDefault="00A9710C" w:rsidP="003C3FA6">
      <w:pPr>
        <w:pStyle w:val="Heading3"/>
        <w:spacing w:before="147"/>
        <w:jc w:val="both"/>
      </w:pPr>
      <w:r>
        <w:rPr>
          <w:color w:val="BF5A14"/>
        </w:rPr>
        <w:lastRenderedPageBreak/>
        <w:t>Abstract</w:t>
      </w:r>
    </w:p>
    <w:p w14:paraId="5144DF85" w14:textId="77777777" w:rsidR="003C3FA6" w:rsidRDefault="003C3FA6" w:rsidP="003C3FA6">
      <w:pPr>
        <w:autoSpaceDE w:val="0"/>
        <w:autoSpaceDN w:val="0"/>
        <w:adjustRightInd w:val="0"/>
        <w:spacing w:after="240"/>
        <w:jc w:val="both"/>
        <w:rPr>
          <w:rFonts w:asciiTheme="majorBidi" w:eastAsiaTheme="minorHAnsi" w:hAnsiTheme="majorBidi" w:cstheme="majorBidi"/>
          <w:sz w:val="18"/>
          <w:szCs w:val="18"/>
        </w:rPr>
      </w:pPr>
      <w:r w:rsidRPr="003C3FA6">
        <w:rPr>
          <w:rFonts w:asciiTheme="majorBidi" w:eastAsiaTheme="minorHAnsi" w:hAnsiTheme="majorBidi" w:cstheme="majorBidi"/>
          <w:b/>
          <w:bCs/>
          <w:sz w:val="18"/>
          <w:szCs w:val="18"/>
        </w:rPr>
        <w:t xml:space="preserve">Background: </w:t>
      </w:r>
      <w:r w:rsidRPr="003C3FA6">
        <w:rPr>
          <w:rFonts w:asciiTheme="majorBidi" w:eastAsiaTheme="minorHAnsi" w:hAnsiTheme="majorBidi" w:cstheme="majorBidi"/>
          <w:sz w:val="18"/>
          <w:szCs w:val="18"/>
        </w:rPr>
        <w:t xml:space="preserve">Patients with insulin-dependent diabetes mellitus (IDDM) show low adherence to insulin injections, which results in poor glycemic control. The </w:t>
      </w:r>
      <w:proofErr w:type="spellStart"/>
      <w:r w:rsidRPr="003C3FA6">
        <w:rPr>
          <w:rFonts w:asciiTheme="majorBidi" w:eastAsiaTheme="minorHAnsi" w:hAnsiTheme="majorBidi" w:cstheme="majorBidi"/>
          <w:sz w:val="18"/>
          <w:szCs w:val="18"/>
        </w:rPr>
        <w:t>i</w:t>
      </w:r>
      <w:proofErr w:type="spellEnd"/>
      <w:r w:rsidRPr="003C3FA6">
        <w:rPr>
          <w:rFonts w:asciiTheme="majorBidi" w:eastAsiaTheme="minorHAnsi" w:hAnsiTheme="majorBidi" w:cstheme="majorBidi"/>
          <w:sz w:val="18"/>
          <w:szCs w:val="18"/>
        </w:rPr>
        <w:t xml:space="preserve">-Port Advance is a new advanced injection method. Our aim is to evaluate patient satisfaction, glycemic control, and adherence while using this device. </w:t>
      </w:r>
    </w:p>
    <w:p w14:paraId="5A3FD87E" w14:textId="77777777" w:rsidR="003C3FA6" w:rsidRPr="003C3FA6" w:rsidRDefault="003C3FA6" w:rsidP="003C3FA6">
      <w:pPr>
        <w:autoSpaceDE w:val="0"/>
        <w:autoSpaceDN w:val="0"/>
        <w:adjustRightInd w:val="0"/>
        <w:spacing w:after="240"/>
        <w:jc w:val="both"/>
        <w:rPr>
          <w:rFonts w:asciiTheme="majorBidi" w:eastAsiaTheme="minorHAnsi" w:hAnsiTheme="majorBidi" w:cstheme="majorBidi"/>
          <w:sz w:val="18"/>
          <w:szCs w:val="18"/>
        </w:rPr>
      </w:pPr>
      <w:r w:rsidRPr="003C3FA6">
        <w:rPr>
          <w:rFonts w:asciiTheme="majorBidi" w:eastAsiaTheme="minorHAnsi" w:hAnsiTheme="majorBidi" w:cstheme="majorBidi"/>
          <w:b/>
          <w:bCs/>
          <w:sz w:val="18"/>
          <w:szCs w:val="18"/>
        </w:rPr>
        <w:t xml:space="preserve">Methodology: </w:t>
      </w:r>
      <w:r w:rsidRPr="003C3FA6">
        <w:rPr>
          <w:rFonts w:asciiTheme="majorBidi" w:eastAsiaTheme="minorHAnsi" w:hAnsiTheme="majorBidi" w:cstheme="majorBidi"/>
          <w:sz w:val="18"/>
          <w:szCs w:val="18"/>
        </w:rPr>
        <w:t xml:space="preserve">This prospective study examined IDDM patients. Baseline characteristics and Diabetes Treatment Satisfaction Questionnaire status (DTSQs) were collected at baseline and at the end of the follow up. All patients were trained to use the </w:t>
      </w:r>
      <w:proofErr w:type="spellStart"/>
      <w:r w:rsidRPr="003C3FA6">
        <w:rPr>
          <w:rFonts w:asciiTheme="majorBidi" w:eastAsiaTheme="minorHAnsi" w:hAnsiTheme="majorBidi" w:cstheme="majorBidi"/>
          <w:sz w:val="18"/>
          <w:szCs w:val="18"/>
        </w:rPr>
        <w:t>i</w:t>
      </w:r>
      <w:proofErr w:type="spellEnd"/>
      <w:r w:rsidRPr="003C3FA6">
        <w:rPr>
          <w:rFonts w:asciiTheme="majorBidi" w:eastAsiaTheme="minorHAnsi" w:hAnsiTheme="majorBidi" w:cstheme="majorBidi"/>
          <w:sz w:val="18"/>
          <w:szCs w:val="18"/>
        </w:rPr>
        <w:t xml:space="preserve">-Port. We divided them into two groups: regular users of the </w:t>
      </w:r>
      <w:proofErr w:type="spellStart"/>
      <w:r w:rsidRPr="003C3FA6">
        <w:rPr>
          <w:rFonts w:asciiTheme="majorBidi" w:eastAsiaTheme="minorHAnsi" w:hAnsiTheme="majorBidi" w:cstheme="majorBidi"/>
          <w:sz w:val="18"/>
          <w:szCs w:val="18"/>
        </w:rPr>
        <w:t>i</w:t>
      </w:r>
      <w:proofErr w:type="spellEnd"/>
      <w:r w:rsidRPr="003C3FA6">
        <w:rPr>
          <w:rFonts w:asciiTheme="majorBidi" w:eastAsiaTheme="minorHAnsi" w:hAnsiTheme="majorBidi" w:cstheme="majorBidi"/>
          <w:sz w:val="18"/>
          <w:szCs w:val="18"/>
        </w:rPr>
        <w:t xml:space="preserve">-Port who used it for &gt;3 months, and irregular users who used it for &lt;3 months. The local complications during use of the </w:t>
      </w:r>
      <w:proofErr w:type="spellStart"/>
      <w:r w:rsidRPr="003C3FA6">
        <w:rPr>
          <w:rFonts w:asciiTheme="majorBidi" w:eastAsiaTheme="minorHAnsi" w:hAnsiTheme="majorBidi" w:cstheme="majorBidi"/>
          <w:sz w:val="18"/>
          <w:szCs w:val="18"/>
        </w:rPr>
        <w:t>i</w:t>
      </w:r>
      <w:proofErr w:type="spellEnd"/>
      <w:r w:rsidRPr="003C3FA6">
        <w:rPr>
          <w:rFonts w:asciiTheme="majorBidi" w:eastAsiaTheme="minorHAnsi" w:hAnsiTheme="majorBidi" w:cstheme="majorBidi"/>
          <w:sz w:val="18"/>
          <w:szCs w:val="18"/>
        </w:rPr>
        <w:t xml:space="preserve">-Port were recorded. </w:t>
      </w:r>
    </w:p>
    <w:p w14:paraId="5E61382E" w14:textId="77777777" w:rsidR="003C3FA6" w:rsidRPr="003C3FA6" w:rsidRDefault="003C3FA6" w:rsidP="003C3FA6">
      <w:pPr>
        <w:autoSpaceDE w:val="0"/>
        <w:autoSpaceDN w:val="0"/>
        <w:adjustRightInd w:val="0"/>
        <w:spacing w:after="240"/>
        <w:jc w:val="both"/>
        <w:rPr>
          <w:rFonts w:asciiTheme="majorBidi" w:eastAsiaTheme="minorHAnsi" w:hAnsiTheme="majorBidi" w:cstheme="majorBidi"/>
          <w:sz w:val="18"/>
          <w:szCs w:val="18"/>
        </w:rPr>
      </w:pPr>
      <w:r w:rsidRPr="003C3FA6">
        <w:rPr>
          <w:rFonts w:asciiTheme="majorBidi" w:eastAsiaTheme="minorHAnsi" w:hAnsiTheme="majorBidi" w:cstheme="majorBidi"/>
          <w:b/>
          <w:bCs/>
          <w:sz w:val="18"/>
          <w:szCs w:val="18"/>
        </w:rPr>
        <w:t xml:space="preserve">Result: </w:t>
      </w:r>
      <w:r w:rsidRPr="003C3FA6">
        <w:rPr>
          <w:rFonts w:asciiTheme="majorBidi" w:eastAsiaTheme="minorHAnsi" w:hAnsiTheme="majorBidi" w:cstheme="majorBidi"/>
          <w:sz w:val="18"/>
          <w:szCs w:val="18"/>
        </w:rPr>
        <w:t xml:space="preserve">Of the total of 55 patients, 92.7% had type I diabetes, the mean age was 14.96+8.95, 92.7% were used an insulin pen. The patients were divided into 27 regular users and 28 irregular users. Irregular users had a longer duration of DM (p=0.901) at baseline and compared to the regular users, and they were less likely to report non-compliance with insulin usage (p=0.338), more likely to self-inject insulin (p=0.038), and had lower HbA1c (p=0.056). There was no statistical difference in the mean DTSQs score or the mean glycemic control score between groups. At the end of the follow up, the regular </w:t>
      </w:r>
      <w:proofErr w:type="spellStart"/>
      <w:r w:rsidRPr="003C3FA6">
        <w:rPr>
          <w:rFonts w:asciiTheme="majorBidi" w:eastAsiaTheme="minorHAnsi" w:hAnsiTheme="majorBidi" w:cstheme="majorBidi"/>
          <w:sz w:val="18"/>
          <w:szCs w:val="18"/>
        </w:rPr>
        <w:t>i</w:t>
      </w:r>
      <w:proofErr w:type="spellEnd"/>
      <w:r w:rsidRPr="003C3FA6">
        <w:rPr>
          <w:rFonts w:asciiTheme="majorBidi" w:eastAsiaTheme="minorHAnsi" w:hAnsiTheme="majorBidi" w:cstheme="majorBidi"/>
          <w:sz w:val="18"/>
          <w:szCs w:val="18"/>
        </w:rPr>
        <w:t xml:space="preserve">- Port usage improved compliance with insulin usage (p=0.028), reduced diabetes-related hospitalization (p &lt;0.001), and reduced the frequency of hypoglycemia (p=0.184). Scarring at the </w:t>
      </w:r>
      <w:proofErr w:type="spellStart"/>
      <w:r w:rsidRPr="003C3FA6">
        <w:rPr>
          <w:rFonts w:asciiTheme="majorBidi" w:eastAsiaTheme="minorHAnsi" w:hAnsiTheme="majorBidi" w:cstheme="majorBidi"/>
          <w:sz w:val="18"/>
          <w:szCs w:val="18"/>
        </w:rPr>
        <w:t>i</w:t>
      </w:r>
      <w:proofErr w:type="spellEnd"/>
      <w:r w:rsidRPr="003C3FA6">
        <w:rPr>
          <w:rFonts w:asciiTheme="majorBidi" w:eastAsiaTheme="minorHAnsi" w:hAnsiTheme="majorBidi" w:cstheme="majorBidi"/>
          <w:sz w:val="18"/>
          <w:szCs w:val="18"/>
        </w:rPr>
        <w:t xml:space="preserve">-Port site was the most common complication. </w:t>
      </w:r>
    </w:p>
    <w:p w14:paraId="52B537D1" w14:textId="77777777" w:rsidR="003C3FA6" w:rsidRDefault="003C3FA6" w:rsidP="003C3FA6">
      <w:pPr>
        <w:autoSpaceDE w:val="0"/>
        <w:autoSpaceDN w:val="0"/>
        <w:adjustRightInd w:val="0"/>
        <w:spacing w:after="240"/>
        <w:jc w:val="both"/>
        <w:rPr>
          <w:rFonts w:asciiTheme="majorBidi" w:eastAsiaTheme="minorHAnsi" w:hAnsiTheme="majorBidi" w:cstheme="majorBidi"/>
          <w:sz w:val="18"/>
          <w:szCs w:val="18"/>
        </w:rPr>
      </w:pPr>
      <w:r w:rsidRPr="003C3FA6">
        <w:rPr>
          <w:rFonts w:asciiTheme="majorBidi" w:eastAsiaTheme="minorHAnsi" w:hAnsiTheme="majorBidi" w:cstheme="majorBidi"/>
          <w:b/>
          <w:bCs/>
          <w:sz w:val="18"/>
          <w:szCs w:val="18"/>
        </w:rPr>
        <w:t xml:space="preserve">Conclusion: </w:t>
      </w:r>
      <w:r w:rsidRPr="003C3FA6">
        <w:rPr>
          <w:rFonts w:asciiTheme="majorBidi" w:eastAsiaTheme="minorHAnsi" w:hAnsiTheme="majorBidi" w:cstheme="majorBidi"/>
          <w:sz w:val="18"/>
          <w:szCs w:val="18"/>
        </w:rPr>
        <w:t xml:space="preserve">Regular </w:t>
      </w:r>
      <w:proofErr w:type="spellStart"/>
      <w:r w:rsidRPr="003C3FA6">
        <w:rPr>
          <w:rFonts w:asciiTheme="majorBidi" w:eastAsiaTheme="minorHAnsi" w:hAnsiTheme="majorBidi" w:cstheme="majorBidi"/>
          <w:sz w:val="18"/>
          <w:szCs w:val="18"/>
        </w:rPr>
        <w:t>i</w:t>
      </w:r>
      <w:proofErr w:type="spellEnd"/>
      <w:r w:rsidRPr="003C3FA6">
        <w:rPr>
          <w:rFonts w:asciiTheme="majorBidi" w:eastAsiaTheme="minorHAnsi" w:hAnsiTheme="majorBidi" w:cstheme="majorBidi"/>
          <w:sz w:val="18"/>
          <w:szCs w:val="18"/>
        </w:rPr>
        <w:t xml:space="preserve">-Port usage improved compliance and decreased hospitalization and hypoglycemic episodes with a non-significant 0.73% reduction in HbA1c. </w:t>
      </w:r>
    </w:p>
    <w:p w14:paraId="0D2B377A" w14:textId="77777777" w:rsidR="00341886" w:rsidRDefault="00341886" w:rsidP="003C3FA6">
      <w:pPr>
        <w:autoSpaceDE w:val="0"/>
        <w:autoSpaceDN w:val="0"/>
        <w:adjustRightInd w:val="0"/>
        <w:spacing w:after="240"/>
        <w:jc w:val="both"/>
        <w:rPr>
          <w:rFonts w:asciiTheme="majorBidi" w:eastAsiaTheme="minorHAnsi" w:hAnsiTheme="majorBidi" w:cstheme="majorBidi"/>
          <w:sz w:val="18"/>
          <w:szCs w:val="18"/>
        </w:rPr>
      </w:pPr>
      <w:r>
        <w:rPr>
          <w:color w:val="BF5A14"/>
        </w:rPr>
        <w:t>Image</w:t>
      </w:r>
      <w:r>
        <w:rPr>
          <w:color w:val="BF5A14"/>
        </w:rPr>
        <w:t xml:space="preserve"> </w:t>
      </w:r>
      <w:proofErr w:type="gramStart"/>
      <w:r>
        <w:rPr>
          <w:color w:val="BF5A14"/>
        </w:rPr>
        <w:t>And</w:t>
      </w:r>
      <w:proofErr w:type="gramEnd"/>
      <w:r>
        <w:rPr>
          <w:color w:val="BF5A14"/>
        </w:rPr>
        <w:t xml:space="preserve"> Tables </w:t>
      </w:r>
    </w:p>
    <w:p w14:paraId="4DFC0209" w14:textId="77777777" w:rsidR="00341886" w:rsidRDefault="00341886" w:rsidP="003C3FA6">
      <w:pPr>
        <w:autoSpaceDE w:val="0"/>
        <w:autoSpaceDN w:val="0"/>
        <w:adjustRightInd w:val="0"/>
        <w:spacing w:after="240"/>
        <w:jc w:val="both"/>
        <w:rPr>
          <w:rFonts w:asciiTheme="majorBidi" w:eastAsiaTheme="minorHAnsi" w:hAnsiTheme="majorBidi" w:cstheme="majorBidi"/>
          <w:sz w:val="18"/>
          <w:szCs w:val="18"/>
        </w:rPr>
      </w:pPr>
      <w:r>
        <w:rPr>
          <w:noProof/>
        </w:rPr>
        <w:drawing>
          <wp:inline distT="0" distB="0" distL="0" distR="0" wp14:anchorId="1891009A" wp14:editId="0DD0E2EC">
            <wp:extent cx="3165475" cy="196342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7-03-24 at 11.19.00 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963420"/>
                    </a:xfrm>
                    <a:prstGeom prst="rect">
                      <a:avLst/>
                    </a:prstGeom>
                  </pic:spPr>
                </pic:pic>
              </a:graphicData>
            </a:graphic>
          </wp:inline>
        </w:drawing>
      </w:r>
    </w:p>
    <w:p w14:paraId="57E6EE62" w14:textId="77777777" w:rsidR="00AE3E37" w:rsidRDefault="00191364" w:rsidP="00191364">
      <w:pPr>
        <w:pStyle w:val="BodyText"/>
        <w:spacing w:before="2"/>
        <w:rPr>
          <w:rFonts w:ascii="Arial"/>
          <w:b/>
          <w:sz w:val="16"/>
        </w:rPr>
      </w:pPr>
      <w:r>
        <w:rPr>
          <w:rFonts w:ascii="Arial"/>
          <w:b/>
          <w:noProof/>
          <w:sz w:val="16"/>
        </w:rPr>
        <w:lastRenderedPageBreak/>
        <w:drawing>
          <wp:inline distT="0" distB="0" distL="0" distR="0" wp14:anchorId="219E3C72" wp14:editId="4E81AA8B">
            <wp:extent cx="3156292" cy="930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7-03-24 at 11.18.45 A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75655" cy="936535"/>
                    </a:xfrm>
                    <a:prstGeom prst="rect">
                      <a:avLst/>
                    </a:prstGeom>
                  </pic:spPr>
                </pic:pic>
              </a:graphicData>
            </a:graphic>
          </wp:inline>
        </w:drawing>
      </w:r>
    </w:p>
    <w:p w14:paraId="5153FAA5" w14:textId="77777777" w:rsidR="00341886" w:rsidRPr="00341886" w:rsidRDefault="00191364" w:rsidP="00341886">
      <w:pPr>
        <w:autoSpaceDE w:val="0"/>
        <w:autoSpaceDN w:val="0"/>
        <w:adjustRightInd w:val="0"/>
        <w:spacing w:before="60" w:after="60"/>
        <w:rPr>
          <w:rFonts w:ascii="Times" w:eastAsiaTheme="minorHAnsi" w:hAnsi="Times" w:cs="Times"/>
          <w:sz w:val="12"/>
          <w:szCs w:val="12"/>
        </w:rPr>
      </w:pPr>
      <w:r w:rsidRPr="00191364">
        <w:rPr>
          <w:rFonts w:ascii="Times New Roman" w:eastAsiaTheme="minorHAnsi" w:hAnsi="Times New Roman" w:cs="Times New Roman"/>
          <w:sz w:val="12"/>
          <w:szCs w:val="12"/>
        </w:rPr>
        <w:t xml:space="preserve">Comparison for the Regular(continuous) user’s characteristics at baseline and at the end of the follow up. </w:t>
      </w:r>
    </w:p>
    <w:p w14:paraId="1DC36C00" w14:textId="77777777" w:rsidR="00341886" w:rsidRPr="00341886" w:rsidRDefault="00341886" w:rsidP="00341886">
      <w:pPr>
        <w:autoSpaceDE w:val="0"/>
        <w:autoSpaceDN w:val="0"/>
        <w:adjustRightInd w:val="0"/>
        <w:spacing w:after="240"/>
        <w:rPr>
          <w:rFonts w:ascii="Times" w:eastAsiaTheme="minorHAnsi" w:hAnsi="Times" w:cs="Times"/>
          <w:sz w:val="16"/>
          <w:szCs w:val="16"/>
        </w:rPr>
      </w:pPr>
      <w:r>
        <w:rPr>
          <w:rFonts w:ascii="Arial"/>
          <w:b/>
          <w:noProof/>
          <w:color w:val="BF5A14"/>
          <w:sz w:val="20"/>
        </w:rPr>
        <w:drawing>
          <wp:inline distT="0" distB="0" distL="0" distR="0" wp14:anchorId="6AD4FDF8" wp14:editId="082013F9">
            <wp:extent cx="3156653" cy="1395046"/>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7-03-24 at 11.34.27 A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64211" cy="1442580"/>
                    </a:xfrm>
                    <a:prstGeom prst="rect">
                      <a:avLst/>
                    </a:prstGeom>
                  </pic:spPr>
                </pic:pic>
              </a:graphicData>
            </a:graphic>
          </wp:inline>
        </w:drawing>
      </w:r>
      <w:r w:rsidRPr="00341886">
        <w:rPr>
          <w:rFonts w:ascii="Times" w:eastAsiaTheme="minorHAnsi" w:hAnsi="Times" w:cs="Times"/>
          <w:sz w:val="16"/>
          <w:szCs w:val="16"/>
        </w:rPr>
        <w:t xml:space="preserve">Reported prevalence of local complications during and after I-port use. </w:t>
      </w:r>
    </w:p>
    <w:p w14:paraId="6D13109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F7073D5" w14:textId="77777777" w:rsidR="00341886" w:rsidRPr="00341886" w:rsidRDefault="00191364" w:rsidP="00341886">
      <w:pPr>
        <w:pStyle w:val="ListParagraph"/>
        <w:numPr>
          <w:ilvl w:val="0"/>
          <w:numId w:val="3"/>
        </w:numPr>
        <w:autoSpaceDE w:val="0"/>
        <w:autoSpaceDN w:val="0"/>
        <w:adjustRightInd w:val="0"/>
        <w:spacing w:after="240"/>
        <w:rPr>
          <w:rFonts w:ascii="Times" w:eastAsiaTheme="minorHAnsi" w:hAnsi="Times" w:cs="Times"/>
          <w:sz w:val="15"/>
          <w:szCs w:val="15"/>
        </w:rPr>
      </w:pPr>
      <w:r w:rsidRPr="00191364">
        <w:rPr>
          <w:rFonts w:ascii="Times New Roman" w:eastAsiaTheme="minorHAnsi" w:hAnsi="Times New Roman" w:cs="Times New Roman"/>
          <w:sz w:val="18"/>
          <w:szCs w:val="18"/>
        </w:rPr>
        <w:t xml:space="preserve">Control </w:t>
      </w:r>
      <w:proofErr w:type="spellStart"/>
      <w:r w:rsidRPr="00191364">
        <w:rPr>
          <w:rFonts w:ascii="Times New Roman" w:eastAsiaTheme="minorHAnsi" w:hAnsi="Times New Roman" w:cs="Times New Roman"/>
          <w:sz w:val="18"/>
          <w:szCs w:val="18"/>
        </w:rPr>
        <w:t>CfD</w:t>
      </w:r>
      <w:proofErr w:type="spellEnd"/>
      <w:r w:rsidRPr="00191364">
        <w:rPr>
          <w:rFonts w:ascii="Times New Roman" w:eastAsiaTheme="minorHAnsi" w:hAnsi="Times New Roman" w:cs="Times New Roman"/>
          <w:sz w:val="18"/>
          <w:szCs w:val="18"/>
        </w:rPr>
        <w:t>, Prevention. Age-adjusted percentage of adults with diabetes using diabetes medication, by type of medication, United States, 1997–2011. 2015.</w:t>
      </w:r>
    </w:p>
    <w:p w14:paraId="68187955" w14:textId="77777777" w:rsidR="00341886" w:rsidRPr="00341886" w:rsidRDefault="00341886" w:rsidP="00341886">
      <w:pPr>
        <w:pStyle w:val="ListParagraph"/>
        <w:numPr>
          <w:ilvl w:val="0"/>
          <w:numId w:val="3"/>
        </w:numPr>
        <w:autoSpaceDE w:val="0"/>
        <w:autoSpaceDN w:val="0"/>
        <w:adjustRightInd w:val="0"/>
        <w:spacing w:after="240"/>
        <w:rPr>
          <w:rFonts w:ascii="Times" w:eastAsiaTheme="minorHAnsi" w:hAnsi="Times" w:cs="Times"/>
          <w:sz w:val="15"/>
          <w:szCs w:val="15"/>
        </w:rPr>
      </w:pPr>
      <w:proofErr w:type="spellStart"/>
      <w:r w:rsidRPr="00341886">
        <w:rPr>
          <w:rFonts w:ascii="Times New Roman" w:eastAsiaTheme="minorHAnsi" w:hAnsi="Times New Roman" w:cs="Times New Roman"/>
          <w:sz w:val="18"/>
          <w:szCs w:val="18"/>
        </w:rPr>
        <w:t>Farsaei</w:t>
      </w:r>
      <w:proofErr w:type="spellEnd"/>
      <w:r w:rsidRPr="00341886">
        <w:rPr>
          <w:rFonts w:ascii="Times New Roman" w:eastAsiaTheme="minorHAnsi" w:hAnsi="Times New Roman" w:cs="Times New Roman"/>
          <w:sz w:val="18"/>
          <w:szCs w:val="18"/>
        </w:rPr>
        <w:t xml:space="preserve"> S, </w:t>
      </w:r>
      <w:proofErr w:type="spellStart"/>
      <w:r w:rsidRPr="00341886">
        <w:rPr>
          <w:rFonts w:ascii="Times New Roman" w:eastAsiaTheme="minorHAnsi" w:hAnsi="Times New Roman" w:cs="Times New Roman"/>
          <w:sz w:val="18"/>
          <w:szCs w:val="18"/>
        </w:rPr>
        <w:t>Radfar</w:t>
      </w:r>
      <w:proofErr w:type="spellEnd"/>
      <w:r w:rsidRPr="00341886">
        <w:rPr>
          <w:rFonts w:ascii="Times New Roman" w:eastAsiaTheme="minorHAnsi" w:hAnsi="Times New Roman" w:cs="Times New Roman"/>
          <w:sz w:val="18"/>
          <w:szCs w:val="18"/>
        </w:rPr>
        <w:t xml:space="preserve"> M, </w:t>
      </w:r>
      <w:proofErr w:type="spellStart"/>
      <w:r w:rsidRPr="00341886">
        <w:rPr>
          <w:rFonts w:ascii="Times New Roman" w:eastAsiaTheme="minorHAnsi" w:hAnsi="Times New Roman" w:cs="Times New Roman"/>
          <w:sz w:val="18"/>
          <w:szCs w:val="18"/>
        </w:rPr>
        <w:t>Heydari</w:t>
      </w:r>
      <w:proofErr w:type="spellEnd"/>
      <w:r w:rsidRPr="00341886">
        <w:rPr>
          <w:rFonts w:ascii="Times New Roman" w:eastAsiaTheme="minorHAnsi" w:hAnsi="Times New Roman" w:cs="Times New Roman"/>
          <w:sz w:val="18"/>
          <w:szCs w:val="18"/>
        </w:rPr>
        <w:t xml:space="preserve"> Z, </w:t>
      </w:r>
      <w:proofErr w:type="spellStart"/>
      <w:r w:rsidRPr="00341886">
        <w:rPr>
          <w:rFonts w:ascii="Times New Roman" w:eastAsiaTheme="minorHAnsi" w:hAnsi="Times New Roman" w:cs="Times New Roman"/>
          <w:sz w:val="18"/>
          <w:szCs w:val="18"/>
        </w:rPr>
        <w:t>Abbasi</w:t>
      </w:r>
      <w:proofErr w:type="spellEnd"/>
      <w:r w:rsidRPr="00341886">
        <w:rPr>
          <w:rFonts w:ascii="Times New Roman" w:eastAsiaTheme="minorHAnsi" w:hAnsi="Times New Roman" w:cs="Times New Roman"/>
          <w:sz w:val="18"/>
          <w:szCs w:val="18"/>
        </w:rPr>
        <w:t xml:space="preserve"> F, </w:t>
      </w:r>
      <w:proofErr w:type="spellStart"/>
      <w:r w:rsidRPr="00341886">
        <w:rPr>
          <w:rFonts w:ascii="Times New Roman" w:eastAsiaTheme="minorHAnsi" w:hAnsi="Times New Roman" w:cs="Times New Roman"/>
          <w:sz w:val="18"/>
          <w:szCs w:val="18"/>
        </w:rPr>
        <w:t>Qorbani</w:t>
      </w:r>
      <w:proofErr w:type="spellEnd"/>
      <w:r w:rsidRPr="00341886">
        <w:rPr>
          <w:rFonts w:ascii="Times New Roman" w:eastAsiaTheme="minorHAnsi" w:hAnsi="Times New Roman" w:cs="Times New Roman"/>
          <w:sz w:val="18"/>
          <w:szCs w:val="18"/>
        </w:rPr>
        <w:t xml:space="preserve"> M. Insulin adherence in patients with diabetes: Risk factors for injection omission. Primary care diabetes. 2014;8(4):338-45. </w:t>
      </w:r>
    </w:p>
    <w:p w14:paraId="0DF3B29C" w14:textId="77777777" w:rsidR="005973B9" w:rsidRPr="00341886" w:rsidRDefault="00341886" w:rsidP="00341886">
      <w:pPr>
        <w:pStyle w:val="ListParagraph"/>
        <w:numPr>
          <w:ilvl w:val="0"/>
          <w:numId w:val="3"/>
        </w:numPr>
        <w:autoSpaceDE w:val="0"/>
        <w:autoSpaceDN w:val="0"/>
        <w:adjustRightInd w:val="0"/>
        <w:spacing w:after="240"/>
        <w:rPr>
          <w:rFonts w:ascii="Times" w:eastAsiaTheme="minorHAnsi" w:hAnsi="Times" w:cs="Times"/>
          <w:sz w:val="15"/>
          <w:szCs w:val="15"/>
        </w:rPr>
      </w:pPr>
      <w:proofErr w:type="spellStart"/>
      <w:r w:rsidRPr="00341886">
        <w:rPr>
          <w:rFonts w:ascii="Times New Roman" w:eastAsiaTheme="minorHAnsi" w:hAnsi="Times New Roman" w:cs="Times New Roman"/>
          <w:color w:val="1A1A1A"/>
          <w:sz w:val="18"/>
          <w:szCs w:val="18"/>
        </w:rPr>
        <w:t>Beckerle</w:t>
      </w:r>
      <w:proofErr w:type="spellEnd"/>
      <w:r w:rsidRPr="00341886">
        <w:rPr>
          <w:rFonts w:ascii="Times New Roman" w:eastAsiaTheme="minorHAnsi" w:hAnsi="Times New Roman" w:cs="Times New Roman"/>
          <w:color w:val="1A1A1A"/>
          <w:sz w:val="18"/>
          <w:szCs w:val="18"/>
        </w:rPr>
        <w:t xml:space="preserve">, Carla Moore, and Mary Ann Lavin. "Association of self-efficacy and self-care with glycemic control in diabetes." Diabetes Spectrum 26.3 (2013): 172-178. </w:t>
      </w:r>
    </w:p>
    <w:p w14:paraId="5917C065" w14:textId="77777777" w:rsidR="00AE3E37" w:rsidRPr="00341886" w:rsidRDefault="00341886" w:rsidP="00341886">
      <w:pPr>
        <w:pStyle w:val="ListParagraph"/>
        <w:numPr>
          <w:ilvl w:val="0"/>
          <w:numId w:val="3"/>
        </w:numPr>
        <w:autoSpaceDE w:val="0"/>
        <w:autoSpaceDN w:val="0"/>
        <w:adjustRightInd w:val="0"/>
        <w:spacing w:after="240"/>
        <w:rPr>
          <w:rFonts w:ascii="Times" w:eastAsiaTheme="minorHAnsi" w:hAnsi="Times" w:cs="Times"/>
          <w:sz w:val="15"/>
          <w:szCs w:val="15"/>
        </w:rPr>
      </w:pPr>
      <w:r w:rsidRPr="00341886">
        <w:rPr>
          <w:rFonts w:ascii="Times New Roman" w:eastAsiaTheme="minorHAnsi" w:hAnsi="Times New Roman" w:cs="Times New Roman"/>
          <w:color w:val="1A1A1A"/>
          <w:sz w:val="18"/>
          <w:szCs w:val="18"/>
        </w:rPr>
        <w:t xml:space="preserve">Randall, Lori, et al. "Recurrent Diabetic Ketoacidosis in Inner-City Minority Patients Behavioral, socioeconomic, and psychosocial factors." Diabetes Care 34.9 (2011): 1891-1896. </w:t>
      </w:r>
    </w:p>
    <w:p w14:paraId="7F3CC598" w14:textId="77777777" w:rsidR="00341886" w:rsidRPr="00341886" w:rsidRDefault="00341886" w:rsidP="00341886">
      <w:pPr>
        <w:pStyle w:val="ListParagraph"/>
        <w:numPr>
          <w:ilvl w:val="0"/>
          <w:numId w:val="3"/>
        </w:numPr>
        <w:autoSpaceDE w:val="0"/>
        <w:autoSpaceDN w:val="0"/>
        <w:adjustRightInd w:val="0"/>
        <w:spacing w:after="240"/>
        <w:rPr>
          <w:rFonts w:ascii="Times" w:eastAsiaTheme="minorHAnsi" w:hAnsi="Times" w:cs="Times"/>
          <w:sz w:val="24"/>
          <w:szCs w:val="24"/>
        </w:rPr>
      </w:pPr>
      <w:r w:rsidRPr="00341886">
        <w:rPr>
          <w:rFonts w:ascii="Times New Roman" w:eastAsiaTheme="minorHAnsi" w:hAnsi="Times New Roman" w:cs="Times New Roman"/>
          <w:sz w:val="18"/>
          <w:szCs w:val="18"/>
        </w:rPr>
        <w:t xml:space="preserve">Fu AZ, </w:t>
      </w:r>
      <w:proofErr w:type="spellStart"/>
      <w:r w:rsidRPr="00341886">
        <w:rPr>
          <w:rFonts w:ascii="Times New Roman" w:eastAsiaTheme="minorHAnsi" w:hAnsi="Times New Roman" w:cs="Times New Roman"/>
          <w:sz w:val="18"/>
          <w:szCs w:val="18"/>
        </w:rPr>
        <w:t>Qiu</w:t>
      </w:r>
      <w:proofErr w:type="spellEnd"/>
      <w:r w:rsidRPr="00341886">
        <w:rPr>
          <w:rFonts w:ascii="Times New Roman" w:eastAsiaTheme="minorHAnsi" w:hAnsi="Times New Roman" w:cs="Times New Roman"/>
          <w:sz w:val="18"/>
          <w:szCs w:val="18"/>
        </w:rPr>
        <w:t xml:space="preserve"> Y, </w:t>
      </w:r>
      <w:proofErr w:type="spellStart"/>
      <w:r w:rsidRPr="00341886">
        <w:rPr>
          <w:rFonts w:ascii="Times New Roman" w:eastAsiaTheme="minorHAnsi" w:hAnsi="Times New Roman" w:cs="Times New Roman"/>
          <w:sz w:val="18"/>
          <w:szCs w:val="18"/>
        </w:rPr>
        <w:t>Radican</w:t>
      </w:r>
      <w:proofErr w:type="spellEnd"/>
      <w:r w:rsidRPr="00341886">
        <w:rPr>
          <w:rFonts w:ascii="Times New Roman" w:eastAsiaTheme="minorHAnsi" w:hAnsi="Times New Roman" w:cs="Times New Roman"/>
          <w:sz w:val="18"/>
          <w:szCs w:val="18"/>
        </w:rPr>
        <w:t xml:space="preserve"> L. Impact of fear of insulin or fear of injection on treatment outcomes of patients with diabetes. Current medical research and opinion. 2009;25(6):1413-20.</w:t>
      </w:r>
      <w:r w:rsidRPr="00341886">
        <w:rPr>
          <w:rFonts w:ascii="MS Mincho" w:eastAsia="MS Mincho" w:hAnsi="MS Mincho" w:cs="MS Mincho"/>
          <w:sz w:val="32"/>
          <w:szCs w:val="32"/>
        </w:rPr>
        <w:t> </w:t>
      </w:r>
    </w:p>
    <w:p w14:paraId="59754F6E" w14:textId="77777777" w:rsidR="00341886" w:rsidRPr="00341886" w:rsidRDefault="00341886" w:rsidP="00341886">
      <w:pPr>
        <w:pStyle w:val="ListParagraph"/>
        <w:numPr>
          <w:ilvl w:val="0"/>
          <w:numId w:val="3"/>
        </w:numPr>
        <w:autoSpaceDE w:val="0"/>
        <w:autoSpaceDN w:val="0"/>
        <w:adjustRightInd w:val="0"/>
        <w:spacing w:after="240"/>
        <w:rPr>
          <w:rFonts w:ascii="Times" w:eastAsiaTheme="minorHAnsi" w:hAnsi="Times" w:cs="Times"/>
          <w:sz w:val="15"/>
          <w:szCs w:val="15"/>
        </w:rPr>
      </w:pPr>
      <w:r w:rsidRPr="00341886">
        <w:rPr>
          <w:rFonts w:ascii="Times New Roman" w:eastAsiaTheme="minorHAnsi" w:hAnsi="Times New Roman" w:cs="Times New Roman"/>
          <w:sz w:val="18"/>
          <w:szCs w:val="18"/>
        </w:rPr>
        <w:t xml:space="preserve">Rubin RR, </w:t>
      </w:r>
      <w:proofErr w:type="spellStart"/>
      <w:r w:rsidRPr="00341886">
        <w:rPr>
          <w:rFonts w:ascii="Times New Roman" w:eastAsiaTheme="minorHAnsi" w:hAnsi="Times New Roman" w:cs="Times New Roman"/>
          <w:sz w:val="18"/>
          <w:szCs w:val="18"/>
        </w:rPr>
        <w:t>Peyrot</w:t>
      </w:r>
      <w:proofErr w:type="spellEnd"/>
      <w:r w:rsidRPr="00341886">
        <w:rPr>
          <w:rFonts w:ascii="Times New Roman" w:eastAsiaTheme="minorHAnsi" w:hAnsi="Times New Roman" w:cs="Times New Roman"/>
          <w:sz w:val="18"/>
          <w:szCs w:val="18"/>
        </w:rPr>
        <w:t xml:space="preserve"> M, Kruger DF, Travis LB. Barriers to Insulin Injection Therapy Patient and Health Care Provider Perspectives. The Diabetes Educator. 2009;35(6):1014-22.</w:t>
      </w:r>
      <w:r w:rsidRPr="00341886">
        <w:rPr>
          <w:rFonts w:ascii="MS Mincho" w:eastAsia="MS Mincho" w:hAnsi="MS Mincho" w:cs="MS Mincho"/>
          <w:sz w:val="18"/>
          <w:szCs w:val="18"/>
        </w:rPr>
        <w:t> </w:t>
      </w:r>
    </w:p>
    <w:p w14:paraId="04750881" w14:textId="77777777" w:rsidR="00AE3E37" w:rsidRPr="00341886" w:rsidRDefault="00341886" w:rsidP="001C1AA2">
      <w:pPr>
        <w:pStyle w:val="ListParagraph"/>
        <w:numPr>
          <w:ilvl w:val="0"/>
          <w:numId w:val="3"/>
        </w:numPr>
        <w:autoSpaceDE w:val="0"/>
        <w:autoSpaceDN w:val="0"/>
        <w:adjustRightInd w:val="0"/>
        <w:spacing w:after="240"/>
        <w:sectPr w:rsidR="00AE3E37" w:rsidRPr="00341886">
          <w:type w:val="continuous"/>
          <w:pgSz w:w="11910" w:h="16840"/>
          <w:pgMar w:top="1740" w:right="600" w:bottom="840" w:left="620" w:header="720" w:footer="720" w:gutter="0"/>
          <w:cols w:num="2" w:space="720" w:equalWidth="0">
            <w:col w:w="5214" w:space="138"/>
            <w:col w:w="5338"/>
          </w:cols>
        </w:sectPr>
      </w:pPr>
      <w:r w:rsidRPr="00341886">
        <w:rPr>
          <w:rFonts w:ascii="Times New Roman" w:eastAsiaTheme="minorHAnsi" w:hAnsi="Times New Roman" w:cs="Times New Roman"/>
          <w:sz w:val="18"/>
          <w:szCs w:val="18"/>
        </w:rPr>
        <w:t xml:space="preserve">Fu AZ, </w:t>
      </w:r>
      <w:proofErr w:type="spellStart"/>
      <w:r w:rsidRPr="00341886">
        <w:rPr>
          <w:rFonts w:ascii="Times New Roman" w:eastAsiaTheme="minorHAnsi" w:hAnsi="Times New Roman" w:cs="Times New Roman"/>
          <w:sz w:val="18"/>
          <w:szCs w:val="18"/>
        </w:rPr>
        <w:t>Qiu</w:t>
      </w:r>
      <w:proofErr w:type="spellEnd"/>
      <w:r w:rsidRPr="00341886">
        <w:rPr>
          <w:rFonts w:ascii="Times New Roman" w:eastAsiaTheme="minorHAnsi" w:hAnsi="Times New Roman" w:cs="Times New Roman"/>
          <w:sz w:val="18"/>
          <w:szCs w:val="18"/>
        </w:rPr>
        <w:t xml:space="preserve"> Y, </w:t>
      </w:r>
      <w:proofErr w:type="spellStart"/>
      <w:r w:rsidRPr="00341886">
        <w:rPr>
          <w:rFonts w:ascii="Times New Roman" w:eastAsiaTheme="minorHAnsi" w:hAnsi="Times New Roman" w:cs="Times New Roman"/>
          <w:sz w:val="18"/>
          <w:szCs w:val="18"/>
        </w:rPr>
        <w:t>Radican</w:t>
      </w:r>
      <w:proofErr w:type="spellEnd"/>
      <w:r w:rsidRPr="00341886">
        <w:rPr>
          <w:rFonts w:ascii="Times New Roman" w:eastAsiaTheme="minorHAnsi" w:hAnsi="Times New Roman" w:cs="Times New Roman"/>
          <w:sz w:val="18"/>
          <w:szCs w:val="18"/>
        </w:rPr>
        <w:t xml:space="preserve"> L. Impact of fear of insulin or fear of injection on treatment outcomes of patients with diabetes. Current medical research and opinion. 2009;25(6):1413-20.</w:t>
      </w:r>
      <w:r w:rsidRPr="00341886">
        <w:rPr>
          <w:rFonts w:ascii="MS Mincho" w:eastAsia="MS Mincho" w:hAnsi="MS Mincho" w:cs="MS Mincho"/>
          <w:sz w:val="18"/>
          <w:szCs w:val="18"/>
        </w:rPr>
        <w:t> </w:t>
      </w:r>
      <w:r w:rsidR="008756E6" w:rsidRPr="00341886">
        <w:t xml:space="preserve">   </w:t>
      </w:r>
    </w:p>
    <w:p w14:paraId="18D3F2AA" w14:textId="77777777" w:rsidR="00AE3E37" w:rsidRDefault="00341886" w:rsidP="00341886">
      <w:pPr>
        <w:pStyle w:val="BodyText"/>
        <w:spacing w:after="40"/>
        <w:rPr>
          <w:rFonts w:ascii="Calibri"/>
          <w:sz w:val="20"/>
        </w:rPr>
      </w:pPr>
      <w:r w:rsidRPr="00191364">
        <w:rPr>
          <w:rFonts w:ascii="Times New Roman" w:eastAsiaTheme="minorHAnsi" w:hAnsi="Times New Roman" w:cs="Times New Roman"/>
          <w:sz w:val="13"/>
          <w:szCs w:val="13"/>
        </w:rPr>
        <w:lastRenderedPageBreak/>
        <w:t>Comparison between Regular(continuous) users of the I-port and Irregular users at baseline.</w:t>
      </w:r>
    </w:p>
    <w:p w14:paraId="1611274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C19CEA7" wp14:editId="4519BA7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B1C4ECB" w14:textId="77777777" w:rsidR="00AE3E37" w:rsidRDefault="008756E6" w:rsidP="001439F2">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78079B95" w14:textId="77777777" w:rsidR="001439F2" w:rsidRDefault="001439F2" w:rsidP="001439F2">
      <w:pPr>
        <w:spacing w:before="41" w:line="154" w:lineRule="exact"/>
        <w:ind w:left="213" w:right="231"/>
        <w:jc w:val="both"/>
        <w:rPr>
          <w:rFonts w:ascii="Arial"/>
          <w:sz w:val="14"/>
        </w:rPr>
      </w:pPr>
      <w:r w:rsidRPr="001439F2">
        <w:rPr>
          <w:rFonts w:ascii="Arial"/>
          <w:sz w:val="14"/>
        </w:rPr>
        <w:t>Amal Khan has completed her Bachelor of Medicine Bachelor of Surgery (</w:t>
      </w:r>
      <w:proofErr w:type="gramStart"/>
      <w:r w:rsidRPr="001439F2">
        <w:rPr>
          <w:rFonts w:ascii="Arial"/>
          <w:sz w:val="14"/>
        </w:rPr>
        <w:t>M.B,B</w:t>
      </w:r>
      <w:proofErr w:type="gramEnd"/>
      <w:r w:rsidRPr="001439F2">
        <w:rPr>
          <w:rFonts w:ascii="Arial"/>
          <w:sz w:val="14"/>
        </w:rPr>
        <w:t xml:space="preserve">.S) at College of Medicine, </w:t>
      </w:r>
      <w:proofErr w:type="spellStart"/>
      <w:r w:rsidRPr="001439F2">
        <w:rPr>
          <w:rFonts w:ascii="Arial"/>
          <w:sz w:val="14"/>
        </w:rPr>
        <w:t>Taif</w:t>
      </w:r>
      <w:proofErr w:type="spellEnd"/>
      <w:r w:rsidRPr="001439F2">
        <w:rPr>
          <w:rFonts w:ascii="Arial"/>
          <w:sz w:val="14"/>
        </w:rPr>
        <w:t xml:space="preserve"> university, </w:t>
      </w:r>
      <w:proofErr w:type="spellStart"/>
      <w:r w:rsidRPr="001439F2">
        <w:rPr>
          <w:rFonts w:ascii="Arial"/>
          <w:sz w:val="14"/>
        </w:rPr>
        <w:t>Taif</w:t>
      </w:r>
      <w:proofErr w:type="spellEnd"/>
      <w:r w:rsidRPr="001439F2">
        <w:rPr>
          <w:rFonts w:ascii="Arial"/>
          <w:sz w:val="14"/>
        </w:rPr>
        <w:t>, KSA. An amateur writer, enthusiastic, patient and hard worker Medical Intern. She adores the scientific r</w:t>
      </w:r>
      <w:r>
        <w:rPr>
          <w:rFonts w:ascii="Arial"/>
          <w:sz w:val="14"/>
        </w:rPr>
        <w:t xml:space="preserve">esearch and she will </w:t>
      </w:r>
      <w:proofErr w:type="spellStart"/>
      <w:r>
        <w:rPr>
          <w:rFonts w:ascii="Arial"/>
          <w:sz w:val="14"/>
        </w:rPr>
        <w:t>contentioue</w:t>
      </w:r>
      <w:proofErr w:type="spellEnd"/>
      <w:r w:rsidRPr="001439F2">
        <w:rPr>
          <w:rFonts w:ascii="Arial"/>
          <w:sz w:val="14"/>
        </w:rPr>
        <w:t xml:space="preserve"> the education in Family</w:t>
      </w:r>
      <w:r>
        <w:rPr>
          <w:rFonts w:ascii="Arial"/>
          <w:sz w:val="14"/>
        </w:rPr>
        <w:t xml:space="preserve"> </w:t>
      </w:r>
      <w:proofErr w:type="spellStart"/>
      <w:r>
        <w:rPr>
          <w:rFonts w:ascii="Arial"/>
          <w:sz w:val="14"/>
        </w:rPr>
        <w:t>Medicin</w:t>
      </w:r>
      <w:proofErr w:type="spellEnd"/>
      <w:r w:rsidRPr="001439F2">
        <w:rPr>
          <w:rFonts w:ascii="Arial"/>
          <w:sz w:val="14"/>
        </w:rPr>
        <w:t xml:space="preserve"> Residency program. She was a speaker at local and international conferences and</w:t>
      </w:r>
      <w:r>
        <w:rPr>
          <w:rFonts w:ascii="Arial"/>
          <w:sz w:val="14"/>
        </w:rPr>
        <w:t xml:space="preserve"> </w:t>
      </w:r>
      <w:r w:rsidRPr="001439F2">
        <w:rPr>
          <w:rFonts w:ascii="Arial"/>
          <w:sz w:val="14"/>
        </w:rPr>
        <w:t>was Best Young Researchers</w:t>
      </w:r>
      <w:r w:rsidRPr="001439F2">
        <w:rPr>
          <w:rFonts w:ascii="Arial"/>
          <w:sz w:val="14"/>
        </w:rPr>
        <w:t>’</w:t>
      </w:r>
      <w:r w:rsidRPr="001439F2">
        <w:rPr>
          <w:rFonts w:ascii="Arial"/>
          <w:sz w:val="14"/>
        </w:rPr>
        <w:t xml:space="preserve"> for oral presentation at the 14</w:t>
      </w:r>
      <w:proofErr w:type="gramStart"/>
      <w:r w:rsidRPr="001439F2">
        <w:rPr>
          <w:rFonts w:ascii="Arial"/>
          <w:sz w:val="14"/>
        </w:rPr>
        <w:t>th  International</w:t>
      </w:r>
      <w:proofErr w:type="gramEnd"/>
      <w:r w:rsidRPr="001439F2">
        <w:rPr>
          <w:rFonts w:ascii="Arial"/>
          <w:sz w:val="14"/>
        </w:rPr>
        <w:t xml:space="preserve"> Conference and Exhibition on </w:t>
      </w:r>
      <w:r w:rsidRPr="001439F2">
        <w:rPr>
          <w:rFonts w:ascii="Arial"/>
          <w:sz w:val="14"/>
        </w:rPr>
        <w:lastRenderedPageBreak/>
        <w:t>Targeting Diabetes and Novel Therapeutic</w:t>
      </w:r>
      <w:r>
        <w:rPr>
          <w:rFonts w:ascii="Arial"/>
          <w:sz w:val="14"/>
        </w:rPr>
        <w:t xml:space="preserve">, Malaysia. </w:t>
      </w:r>
      <w:proofErr w:type="spellStart"/>
      <w:proofErr w:type="gramStart"/>
      <w:r>
        <w:rPr>
          <w:rFonts w:ascii="Arial"/>
          <w:sz w:val="14"/>
        </w:rPr>
        <w:t>Dr.Khan</w:t>
      </w:r>
      <w:proofErr w:type="spellEnd"/>
      <w:proofErr w:type="gramEnd"/>
      <w:r w:rsidRPr="001439F2">
        <w:rPr>
          <w:rFonts w:ascii="Arial"/>
          <w:sz w:val="14"/>
        </w:rPr>
        <w:t xml:space="preserve"> published a lot of research</w:t>
      </w:r>
      <w:r>
        <w:rPr>
          <w:rFonts w:ascii="Arial"/>
          <w:sz w:val="14"/>
        </w:rPr>
        <w:t>es</w:t>
      </w:r>
      <w:r w:rsidRPr="001439F2">
        <w:rPr>
          <w:rFonts w:ascii="Arial"/>
          <w:sz w:val="14"/>
        </w:rPr>
        <w:t xml:space="preserve"> in a field of Diabetes. She attended and participate at a lot of conference and workshop in E</w:t>
      </w:r>
      <w:r>
        <w:rPr>
          <w:rFonts w:ascii="Arial"/>
          <w:sz w:val="14"/>
        </w:rPr>
        <w:t>ndocrinology and medical field.</w:t>
      </w:r>
    </w:p>
    <w:p w14:paraId="56E89B2A" w14:textId="77777777" w:rsidR="00AE3E37" w:rsidRDefault="00A9710C" w:rsidP="001439F2">
      <w:pPr>
        <w:spacing w:before="62"/>
        <w:ind w:left="4217" w:right="4235"/>
        <w:jc w:val="center"/>
        <w:rPr>
          <w:rFonts w:ascii="Arial"/>
          <w:sz w:val="14"/>
        </w:rPr>
      </w:pPr>
      <w:r>
        <w:rPr>
          <w:rFonts w:ascii="Arial"/>
          <w:sz w:val="14"/>
        </w:rPr>
        <w:t xml:space="preserve">Email: </w:t>
      </w:r>
      <w:hyperlink r:id="rId12" w:history="1">
        <w:r w:rsidR="001439F2">
          <w:rPr>
            <w:rStyle w:val="Hyperlink"/>
            <w:rFonts w:ascii="Arial"/>
            <w:sz w:val="14"/>
          </w:rPr>
          <w:t>dr.amal-khan@msn.com</w:t>
        </w:r>
      </w:hyperlink>
    </w:p>
    <w:p w14:paraId="349573C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713C40C" wp14:editId="1C54BF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4883545" w14:textId="77777777" w:rsidR="00AE3E37" w:rsidRDefault="00AE3E37">
      <w:pPr>
        <w:pStyle w:val="BodyText"/>
        <w:rPr>
          <w:rFonts w:ascii="Arial"/>
          <w:sz w:val="20"/>
        </w:rPr>
      </w:pPr>
    </w:p>
    <w:p w14:paraId="587081F0" w14:textId="77777777" w:rsidR="00AE3E37" w:rsidRDefault="00AE3E37">
      <w:pPr>
        <w:pStyle w:val="BodyText"/>
        <w:rPr>
          <w:rFonts w:ascii="Arial"/>
          <w:sz w:val="20"/>
        </w:rPr>
      </w:pPr>
      <w:bookmarkStart w:id="0" w:name="_GoBack"/>
      <w:bookmarkEnd w:id="0"/>
    </w:p>
    <w:p w14:paraId="6F35C746" w14:textId="77777777" w:rsidR="00AE3E37" w:rsidRDefault="00AE3E37">
      <w:pPr>
        <w:pStyle w:val="BodyText"/>
        <w:spacing w:before="7"/>
        <w:rPr>
          <w:rFonts w:ascii="Arial"/>
          <w:sz w:val="29"/>
        </w:rPr>
      </w:pPr>
    </w:p>
    <w:p w14:paraId="7D2AC8A1" w14:textId="77777777" w:rsidR="00AE3E37" w:rsidRPr="00B21A57" w:rsidRDefault="00A9710C">
      <w:pPr>
        <w:spacing w:before="39"/>
        <w:ind w:left="100"/>
        <w:rPr>
          <w:rFonts w:ascii="Minion Pro"/>
          <w:b/>
          <w:sz w:val="20"/>
        </w:rPr>
      </w:pPr>
      <w:r w:rsidRPr="00B21A57">
        <w:rPr>
          <w:rFonts w:ascii="Minion Pro"/>
          <w:b/>
          <w:sz w:val="20"/>
        </w:rPr>
        <w:t>Notes/Comments:</w:t>
      </w:r>
    </w:p>
    <w:p w14:paraId="6D5FC09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D6C8E0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77F914" w14:textId="77777777" w:rsidR="00C3615F" w:rsidRDefault="00C3615F">
      <w:r>
        <w:separator/>
      </w:r>
    </w:p>
  </w:endnote>
  <w:endnote w:type="continuationSeparator" w:id="0">
    <w:p w14:paraId="1CF2C6BC" w14:textId="77777777" w:rsidR="00C3615F" w:rsidRDefault="00C36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B2A0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0CF184B" wp14:editId="23E39FA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79F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D7908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CF184B" id="_x0000_t202" coordsize="21600,21600" o:spt="202" path="m0,0l0,21600,21600,21600,2160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4EE79F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D7908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6C3E45" w14:textId="77777777" w:rsidR="00C3615F" w:rsidRDefault="00C3615F">
      <w:r>
        <w:separator/>
      </w:r>
    </w:p>
  </w:footnote>
  <w:footnote w:type="continuationSeparator" w:id="0">
    <w:p w14:paraId="5A19ECF8" w14:textId="77777777" w:rsidR="00C3615F" w:rsidRDefault="00C3615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45ED6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71C475DE" wp14:editId="18EABF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0C2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E399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475D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6E70C2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E399D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326DA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39F2"/>
    <w:rsid w:val="00190544"/>
    <w:rsid w:val="00191364"/>
    <w:rsid w:val="002077C5"/>
    <w:rsid w:val="0027081E"/>
    <w:rsid w:val="00292ED9"/>
    <w:rsid w:val="00332F95"/>
    <w:rsid w:val="00341886"/>
    <w:rsid w:val="003C3FA6"/>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3615F"/>
    <w:rsid w:val="00CD6F55"/>
    <w:rsid w:val="00DE3104"/>
    <w:rsid w:val="00EE037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1486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41886"/>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672</Words>
  <Characters>3832</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Amal Khan</cp:lastModifiedBy>
  <cp:revision>2</cp:revision>
  <dcterms:created xsi:type="dcterms:W3CDTF">2017-03-24T08:56:00Z</dcterms:created>
  <dcterms:modified xsi:type="dcterms:W3CDTF">2017-03-24T08:56:00Z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