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4C2BE" w14:textId="77777777" w:rsidR="008D201C" w:rsidRPr="008D201C" w:rsidRDefault="008D201C" w:rsidP="008D201C">
      <w:pPr>
        <w:rPr>
          <w:rFonts w:eastAsia="Times New Roman" w:cstheme="minorHAnsi"/>
          <w:sz w:val="21"/>
          <w:szCs w:val="21"/>
          <w:lang w:eastAsia="en-GB"/>
        </w:rPr>
      </w:pPr>
      <w:r w:rsidRPr="008D201C">
        <w:rPr>
          <w:rFonts w:eastAsia="Times New Roman" w:cstheme="minorHAnsi"/>
          <w:sz w:val="21"/>
          <w:szCs w:val="21"/>
          <w:lang w:eastAsia="en-GB"/>
        </w:rPr>
        <w:t>Abstract:</w:t>
      </w:r>
    </w:p>
    <w:p w14:paraId="778FC391" w14:textId="77777777" w:rsidR="008D201C" w:rsidRPr="008D201C" w:rsidRDefault="008D201C" w:rsidP="008D201C">
      <w:pPr>
        <w:rPr>
          <w:rFonts w:eastAsia="Times New Roman" w:cstheme="minorHAnsi"/>
          <w:sz w:val="21"/>
          <w:szCs w:val="21"/>
          <w:lang w:eastAsia="en-GB"/>
        </w:rPr>
      </w:pPr>
    </w:p>
    <w:p w14:paraId="614E9BFE" w14:textId="77777777" w:rsidR="008D201C" w:rsidRPr="008D201C" w:rsidRDefault="008D201C" w:rsidP="008D201C">
      <w:pPr>
        <w:rPr>
          <w:rFonts w:eastAsia="Times New Roman" w:cstheme="minorHAnsi"/>
          <w:sz w:val="21"/>
          <w:szCs w:val="21"/>
          <w:lang w:eastAsia="en-GB"/>
        </w:rPr>
      </w:pPr>
      <w:r w:rsidRPr="008D201C">
        <w:rPr>
          <w:rFonts w:eastAsia="Times New Roman" w:cstheme="minorHAnsi"/>
          <w:sz w:val="21"/>
          <w:szCs w:val="21"/>
          <w:lang w:eastAsia="en-GB"/>
        </w:rPr>
        <w:t xml:space="preserve">BACKGROUND: A bidirectional relationship exists between the brain and the gastrointestinal tract. Foods containing bacteria that positively influence the gastrointestinal microbiome are termed, probiotics; compounds that promote the flourishing of these bacteria are termed, prebiotics. Whether microbiome influencing therapies could treat psychiatric conditions, including depression and anxiety, is an area of interest. Presently, no established consensus for such treatment exists. </w:t>
      </w:r>
    </w:p>
    <w:p w14:paraId="1FC3451A" w14:textId="77777777" w:rsidR="008D201C" w:rsidRPr="008D201C" w:rsidRDefault="008D201C" w:rsidP="008D201C">
      <w:pPr>
        <w:rPr>
          <w:rFonts w:eastAsia="Times New Roman" w:cstheme="minorHAnsi"/>
          <w:sz w:val="21"/>
          <w:szCs w:val="21"/>
          <w:lang w:eastAsia="en-GB"/>
        </w:rPr>
      </w:pPr>
    </w:p>
    <w:p w14:paraId="213ECA84" w14:textId="77777777" w:rsidR="008D201C" w:rsidRPr="008D201C" w:rsidRDefault="008D201C" w:rsidP="008D201C">
      <w:pPr>
        <w:rPr>
          <w:rFonts w:eastAsia="Times New Roman" w:cstheme="minorHAnsi"/>
          <w:sz w:val="21"/>
          <w:szCs w:val="21"/>
          <w:lang w:eastAsia="en-GB"/>
        </w:rPr>
      </w:pPr>
      <w:r w:rsidRPr="008D201C">
        <w:rPr>
          <w:rFonts w:eastAsia="Times New Roman" w:cstheme="minorHAnsi"/>
          <w:sz w:val="21"/>
          <w:szCs w:val="21"/>
          <w:lang w:eastAsia="en-GB"/>
        </w:rPr>
        <w:t xml:space="preserve">METHODS: This systematic review analyses databases and grey literature sites to investigate pre and/or probiotics as treatments for depression and/or anxiety disorders. Articles included are from within 15 years. Pre-determined inclusion exclusion criteria were applied, and articles were appraised for their quality using a modified-CASP checklist. This review focuses specifically on quantitative measures from patients with clinical diagnoses of depression and/or anxiety disorders. </w:t>
      </w:r>
    </w:p>
    <w:p w14:paraId="00EBFC27" w14:textId="77777777" w:rsidR="008D201C" w:rsidRPr="008D201C" w:rsidRDefault="008D201C" w:rsidP="008D201C">
      <w:pPr>
        <w:rPr>
          <w:rFonts w:eastAsia="Times New Roman" w:cstheme="minorHAnsi"/>
          <w:sz w:val="21"/>
          <w:szCs w:val="21"/>
          <w:lang w:eastAsia="en-GB"/>
        </w:rPr>
      </w:pPr>
    </w:p>
    <w:p w14:paraId="7835219B" w14:textId="77777777" w:rsidR="008D201C" w:rsidRPr="008D201C" w:rsidRDefault="008D201C" w:rsidP="008D201C">
      <w:pPr>
        <w:rPr>
          <w:rFonts w:eastAsia="Times New Roman" w:cstheme="minorHAnsi"/>
          <w:sz w:val="21"/>
          <w:szCs w:val="21"/>
          <w:lang w:eastAsia="en-GB"/>
        </w:rPr>
      </w:pPr>
      <w:r w:rsidRPr="008D201C">
        <w:rPr>
          <w:rFonts w:eastAsia="Times New Roman" w:cstheme="minorHAnsi"/>
          <w:sz w:val="21"/>
          <w:szCs w:val="21"/>
          <w:lang w:eastAsia="en-GB"/>
        </w:rPr>
        <w:t xml:space="preserve">RESULTS: 7 studies were identified. All demonstrated significant improvements in one or more of the outcomes measuring the of effect taking pre/probiotics compared with no treatment/placebo, or when compared to baseline measurements. </w:t>
      </w:r>
    </w:p>
    <w:p w14:paraId="2957356A" w14:textId="77777777" w:rsidR="008D201C" w:rsidRPr="008D201C" w:rsidRDefault="008D201C" w:rsidP="008D201C">
      <w:pPr>
        <w:rPr>
          <w:rFonts w:eastAsia="Times New Roman" w:cstheme="minorHAnsi"/>
          <w:sz w:val="21"/>
          <w:szCs w:val="21"/>
          <w:lang w:eastAsia="en-GB"/>
        </w:rPr>
      </w:pPr>
    </w:p>
    <w:p w14:paraId="11A8FD80" w14:textId="77777777" w:rsidR="008D201C" w:rsidRPr="008D201C" w:rsidRDefault="008D201C" w:rsidP="008D201C">
      <w:pPr>
        <w:rPr>
          <w:rFonts w:eastAsia="Times New Roman" w:cstheme="minorHAnsi"/>
          <w:sz w:val="21"/>
          <w:szCs w:val="21"/>
          <w:lang w:eastAsia="en-GB"/>
        </w:rPr>
      </w:pPr>
      <w:r w:rsidRPr="008D201C">
        <w:rPr>
          <w:rFonts w:eastAsia="Times New Roman" w:cstheme="minorHAnsi"/>
          <w:sz w:val="21"/>
          <w:szCs w:val="21"/>
          <w:lang w:eastAsia="en-GB"/>
        </w:rPr>
        <w:t xml:space="preserve">DISCUSSION: Our review suggests utilising pre/probiotic may be a potentially useful adjunctive treatment. Furthermore, patients with certain co-morbidities, such as IBS, might experience greater benefits from such treatments, given that pre/probiotic are useful treatments for other conditions that were not the primary focus of this discourse. Our results are limited by several factors: sample sizes (adequate, though not robust); short study durations, long-term effects and propensity for remission undetermined. </w:t>
      </w:r>
    </w:p>
    <w:p w14:paraId="1B11D0BF" w14:textId="77777777" w:rsidR="008D201C" w:rsidRPr="008D201C" w:rsidRDefault="008D201C" w:rsidP="008D201C">
      <w:pPr>
        <w:rPr>
          <w:rFonts w:eastAsia="Times New Roman" w:cstheme="minorHAnsi"/>
          <w:sz w:val="21"/>
          <w:szCs w:val="21"/>
          <w:lang w:eastAsia="en-GB"/>
        </w:rPr>
      </w:pPr>
    </w:p>
    <w:p w14:paraId="439E02F4" w14:textId="3492963F" w:rsidR="008D201C" w:rsidRPr="008D201C" w:rsidRDefault="008D201C" w:rsidP="008D201C">
      <w:pPr>
        <w:rPr>
          <w:rFonts w:eastAsia="Times New Roman" w:cstheme="minorHAnsi"/>
          <w:sz w:val="21"/>
          <w:szCs w:val="21"/>
          <w:lang w:eastAsia="en-GB"/>
        </w:rPr>
      </w:pPr>
      <w:r w:rsidRPr="008D201C">
        <w:rPr>
          <w:rFonts w:eastAsia="Times New Roman" w:cstheme="minorHAnsi"/>
          <w:sz w:val="21"/>
          <w:szCs w:val="21"/>
          <w:lang w:eastAsia="en-GB"/>
        </w:rPr>
        <w:t>CONCLUSION: Our results affirm that pre/probiotic therapy warrants further investigation. Efforts should aim to elucidate whether the perceived efficacy of pre/probiotic therapy in depression and/or anxiety disorders can be replicated in larger test populations, and whether such effects are maintained through continued treatment, or post cessation. Interventions should also be investigated in isolation, not combination, to ascertain where the observed effects are attributable to. Efforts to produce mechanistic explanations for such effect should be a priority.</w:t>
      </w:r>
      <w:r w:rsidRPr="008D201C">
        <w:rPr>
          <w:rFonts w:eastAsia="Times New Roman" w:cstheme="minorHAnsi"/>
          <w:vanish/>
          <w:sz w:val="21"/>
          <w:szCs w:val="21"/>
          <w:lang w:eastAsia="en-GB"/>
        </w:rPr>
        <w:t>Top of Form</w:t>
      </w:r>
    </w:p>
    <w:p w14:paraId="0EABB09C" w14:textId="6BA2FF46" w:rsidR="008D201C" w:rsidRDefault="008D201C" w:rsidP="008D201C">
      <w:pPr>
        <w:pBdr>
          <w:top w:val="single" w:sz="6" w:space="1" w:color="auto"/>
        </w:pBdr>
        <w:jc w:val="center"/>
        <w:rPr>
          <w:rFonts w:eastAsia="Times New Roman" w:cstheme="minorHAnsi"/>
          <w:vanish/>
          <w:sz w:val="21"/>
          <w:szCs w:val="21"/>
          <w:lang w:eastAsia="en-GB"/>
        </w:rPr>
      </w:pPr>
      <w:r w:rsidRPr="008D201C">
        <w:rPr>
          <w:rFonts w:ascii="Arial" w:eastAsia="Times New Roman" w:hAnsi="Arial" w:cs="Arial"/>
          <w:vanish/>
          <w:sz w:val="16"/>
          <w:szCs w:val="16"/>
          <w:lang w:eastAsia="en-GB"/>
        </w:rPr>
        <w:t>Bottom of Form</w:t>
      </w:r>
    </w:p>
    <w:p w14:paraId="67281FE1" w14:textId="095BF9E5" w:rsidR="008D201C" w:rsidRDefault="008D201C" w:rsidP="008D201C">
      <w:pPr>
        <w:pBdr>
          <w:top w:val="single" w:sz="6" w:space="1" w:color="auto"/>
        </w:pBdr>
        <w:jc w:val="center"/>
        <w:rPr>
          <w:rFonts w:eastAsia="Times New Roman" w:cstheme="minorHAnsi"/>
          <w:vanish/>
          <w:sz w:val="21"/>
          <w:szCs w:val="21"/>
          <w:lang w:eastAsia="en-GB"/>
        </w:rPr>
      </w:pPr>
    </w:p>
    <w:p w14:paraId="288E8309" w14:textId="7E45B6A0" w:rsidR="008D201C" w:rsidRDefault="008D201C" w:rsidP="008D201C">
      <w:pPr>
        <w:pBdr>
          <w:top w:val="single" w:sz="6" w:space="1" w:color="auto"/>
        </w:pBdr>
        <w:jc w:val="center"/>
        <w:rPr>
          <w:rFonts w:eastAsia="Times New Roman" w:cstheme="minorHAnsi"/>
          <w:vanish/>
          <w:sz w:val="21"/>
          <w:szCs w:val="21"/>
          <w:lang w:eastAsia="en-GB"/>
        </w:rPr>
      </w:pPr>
    </w:p>
    <w:p w14:paraId="537C0778" w14:textId="77777777" w:rsidR="008D201C" w:rsidRPr="008D201C" w:rsidRDefault="008D201C" w:rsidP="008D201C">
      <w:pPr>
        <w:pBdr>
          <w:top w:val="single" w:sz="6" w:space="1" w:color="auto"/>
        </w:pBdr>
        <w:jc w:val="center"/>
        <w:rPr>
          <w:rFonts w:ascii="Arial" w:eastAsia="Times New Roman" w:hAnsi="Arial" w:cs="Arial"/>
          <w:vanish/>
          <w:sz w:val="16"/>
          <w:szCs w:val="16"/>
          <w:lang w:eastAsia="en-GB"/>
        </w:rPr>
      </w:pPr>
    </w:p>
    <w:p w14:paraId="59A5D2D6" w14:textId="77777777" w:rsidR="008E499A" w:rsidRDefault="008E499A"/>
    <w:sectPr w:rsidR="008E49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1C"/>
    <w:rsid w:val="008D201C"/>
    <w:rsid w:val="008E4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198690F"/>
  <w15:chartTrackingRefBased/>
  <w15:docId w15:val="{515FD490-1E90-6546-ADB7-FEBE33006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8D201C"/>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8D201C"/>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8D201C"/>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8D201C"/>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2479403">
      <w:bodyDiv w:val="1"/>
      <w:marLeft w:val="0"/>
      <w:marRight w:val="0"/>
      <w:marTop w:val="0"/>
      <w:marBottom w:val="0"/>
      <w:divBdr>
        <w:top w:val="none" w:sz="0" w:space="0" w:color="auto"/>
        <w:left w:val="none" w:sz="0" w:space="0" w:color="auto"/>
        <w:bottom w:val="none" w:sz="0" w:space="0" w:color="auto"/>
        <w:right w:val="none" w:sz="0" w:space="0" w:color="auto"/>
      </w:divBdr>
      <w:divsChild>
        <w:div w:id="280458156">
          <w:marLeft w:val="0"/>
          <w:marRight w:val="0"/>
          <w:marTop w:val="0"/>
          <w:marBottom w:val="0"/>
          <w:divBdr>
            <w:top w:val="none" w:sz="0" w:space="0" w:color="auto"/>
            <w:left w:val="none" w:sz="0" w:space="0" w:color="auto"/>
            <w:bottom w:val="none" w:sz="0" w:space="0" w:color="auto"/>
            <w:right w:val="none" w:sz="0" w:space="0" w:color="auto"/>
          </w:divBdr>
          <w:divsChild>
            <w:div w:id="1561743356">
              <w:marLeft w:val="0"/>
              <w:marRight w:val="0"/>
              <w:marTop w:val="0"/>
              <w:marBottom w:val="0"/>
              <w:divBdr>
                <w:top w:val="none" w:sz="0" w:space="0" w:color="auto"/>
                <w:left w:val="none" w:sz="0" w:space="0" w:color="auto"/>
                <w:bottom w:val="none" w:sz="0" w:space="0" w:color="auto"/>
                <w:right w:val="none" w:sz="0" w:space="0" w:color="auto"/>
              </w:divBdr>
              <w:divsChild>
                <w:div w:id="878051657">
                  <w:marLeft w:val="0"/>
                  <w:marRight w:val="0"/>
                  <w:marTop w:val="0"/>
                  <w:marBottom w:val="0"/>
                  <w:divBdr>
                    <w:top w:val="none" w:sz="0" w:space="0" w:color="auto"/>
                    <w:left w:val="none" w:sz="0" w:space="0" w:color="auto"/>
                    <w:bottom w:val="none" w:sz="0" w:space="0" w:color="auto"/>
                    <w:right w:val="none" w:sz="0" w:space="0" w:color="auto"/>
                  </w:divBdr>
                  <w:divsChild>
                    <w:div w:id="1733768570">
                      <w:marLeft w:val="0"/>
                      <w:marRight w:val="0"/>
                      <w:marTop w:val="0"/>
                      <w:marBottom w:val="0"/>
                      <w:divBdr>
                        <w:top w:val="none" w:sz="0" w:space="0" w:color="auto"/>
                        <w:left w:val="none" w:sz="0" w:space="0" w:color="auto"/>
                        <w:bottom w:val="none" w:sz="0" w:space="0" w:color="auto"/>
                        <w:right w:val="none" w:sz="0" w:space="0" w:color="auto"/>
                      </w:divBdr>
                      <w:divsChild>
                        <w:div w:id="1361662174">
                          <w:marLeft w:val="0"/>
                          <w:marRight w:val="0"/>
                          <w:marTop w:val="0"/>
                          <w:marBottom w:val="0"/>
                          <w:divBdr>
                            <w:top w:val="none" w:sz="0" w:space="0" w:color="auto"/>
                            <w:left w:val="none" w:sz="0" w:space="0" w:color="auto"/>
                            <w:bottom w:val="none" w:sz="0" w:space="0" w:color="auto"/>
                            <w:right w:val="none" w:sz="0" w:space="0" w:color="auto"/>
                          </w:divBdr>
                          <w:divsChild>
                            <w:div w:id="1557207344">
                              <w:marLeft w:val="0"/>
                              <w:marRight w:val="0"/>
                              <w:marTop w:val="0"/>
                              <w:marBottom w:val="0"/>
                              <w:divBdr>
                                <w:top w:val="none" w:sz="0" w:space="0" w:color="auto"/>
                                <w:left w:val="none" w:sz="0" w:space="0" w:color="auto"/>
                                <w:bottom w:val="none" w:sz="0" w:space="0" w:color="auto"/>
                                <w:right w:val="none" w:sz="0" w:space="0" w:color="auto"/>
                              </w:divBdr>
                              <w:divsChild>
                                <w:div w:id="698046472">
                                  <w:marLeft w:val="0"/>
                                  <w:marRight w:val="0"/>
                                  <w:marTop w:val="0"/>
                                  <w:marBottom w:val="0"/>
                                  <w:divBdr>
                                    <w:top w:val="none" w:sz="0" w:space="0" w:color="auto"/>
                                    <w:left w:val="none" w:sz="0" w:space="0" w:color="auto"/>
                                    <w:bottom w:val="none" w:sz="0" w:space="0" w:color="auto"/>
                                    <w:right w:val="none" w:sz="0" w:space="0" w:color="auto"/>
                                  </w:divBdr>
                                  <w:divsChild>
                                    <w:div w:id="516117244">
                                      <w:marLeft w:val="0"/>
                                      <w:marRight w:val="0"/>
                                      <w:marTop w:val="0"/>
                                      <w:marBottom w:val="0"/>
                                      <w:divBdr>
                                        <w:top w:val="none" w:sz="0" w:space="0" w:color="auto"/>
                                        <w:left w:val="none" w:sz="0" w:space="0" w:color="auto"/>
                                        <w:bottom w:val="none" w:sz="0" w:space="0" w:color="auto"/>
                                        <w:right w:val="none" w:sz="0" w:space="0" w:color="auto"/>
                                      </w:divBdr>
                                      <w:divsChild>
                                        <w:div w:id="1303654851">
                                          <w:marLeft w:val="0"/>
                                          <w:marRight w:val="0"/>
                                          <w:marTop w:val="0"/>
                                          <w:marBottom w:val="0"/>
                                          <w:divBdr>
                                            <w:top w:val="none" w:sz="0" w:space="0" w:color="auto"/>
                                            <w:left w:val="none" w:sz="0" w:space="0" w:color="auto"/>
                                            <w:bottom w:val="none" w:sz="0" w:space="0" w:color="auto"/>
                                            <w:right w:val="none" w:sz="0" w:space="0" w:color="auto"/>
                                          </w:divBdr>
                                          <w:divsChild>
                                            <w:div w:id="1056468862">
                                              <w:marLeft w:val="0"/>
                                              <w:marRight w:val="0"/>
                                              <w:marTop w:val="0"/>
                                              <w:marBottom w:val="0"/>
                                              <w:divBdr>
                                                <w:top w:val="none" w:sz="0" w:space="0" w:color="auto"/>
                                                <w:left w:val="none" w:sz="0" w:space="0" w:color="auto"/>
                                                <w:bottom w:val="none" w:sz="0" w:space="0" w:color="auto"/>
                                                <w:right w:val="none" w:sz="0" w:space="0" w:color="auto"/>
                                              </w:divBdr>
                                              <w:divsChild>
                                                <w:div w:id="2048680478">
                                                  <w:marLeft w:val="0"/>
                                                  <w:marRight w:val="0"/>
                                                  <w:marTop w:val="0"/>
                                                  <w:marBottom w:val="0"/>
                                                  <w:divBdr>
                                                    <w:top w:val="none" w:sz="0" w:space="0" w:color="auto"/>
                                                    <w:left w:val="none" w:sz="0" w:space="0" w:color="auto"/>
                                                    <w:bottom w:val="none" w:sz="0" w:space="0" w:color="auto"/>
                                                    <w:right w:val="none" w:sz="0" w:space="0" w:color="auto"/>
                                                  </w:divBdr>
                                                  <w:divsChild>
                                                    <w:div w:id="531573619">
                                                      <w:marLeft w:val="0"/>
                                                      <w:marRight w:val="0"/>
                                                      <w:marTop w:val="0"/>
                                                      <w:marBottom w:val="0"/>
                                                      <w:divBdr>
                                                        <w:top w:val="none" w:sz="0" w:space="0" w:color="auto"/>
                                                        <w:left w:val="none" w:sz="0" w:space="0" w:color="auto"/>
                                                        <w:bottom w:val="none" w:sz="0" w:space="0" w:color="auto"/>
                                                        <w:right w:val="none" w:sz="0" w:space="0" w:color="auto"/>
                                                      </w:divBdr>
                                                      <w:divsChild>
                                                        <w:div w:id="565798393">
                                                          <w:marLeft w:val="0"/>
                                                          <w:marRight w:val="0"/>
                                                          <w:marTop w:val="0"/>
                                                          <w:marBottom w:val="0"/>
                                                          <w:divBdr>
                                                            <w:top w:val="none" w:sz="0" w:space="0" w:color="auto"/>
                                                            <w:left w:val="none" w:sz="0" w:space="0" w:color="auto"/>
                                                            <w:bottom w:val="none" w:sz="0" w:space="0" w:color="auto"/>
                                                            <w:right w:val="none" w:sz="0" w:space="0" w:color="auto"/>
                                                          </w:divBdr>
                                                          <w:divsChild>
                                                            <w:div w:id="1522433571">
                                                              <w:marLeft w:val="0"/>
                                                              <w:marRight w:val="0"/>
                                                              <w:marTop w:val="0"/>
                                                              <w:marBottom w:val="0"/>
                                                              <w:divBdr>
                                                                <w:top w:val="none" w:sz="0" w:space="0" w:color="auto"/>
                                                                <w:left w:val="none" w:sz="0" w:space="0" w:color="auto"/>
                                                                <w:bottom w:val="none" w:sz="0" w:space="0" w:color="auto"/>
                                                                <w:right w:val="none" w:sz="0" w:space="0" w:color="auto"/>
                                                              </w:divBdr>
                                                              <w:divsChild>
                                                                <w:div w:id="201356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009094">
          <w:marLeft w:val="0"/>
          <w:marRight w:val="0"/>
          <w:marTop w:val="0"/>
          <w:marBottom w:val="0"/>
          <w:divBdr>
            <w:top w:val="none" w:sz="0" w:space="0" w:color="auto"/>
            <w:left w:val="none" w:sz="0" w:space="0" w:color="auto"/>
            <w:bottom w:val="none" w:sz="0" w:space="0" w:color="auto"/>
            <w:right w:val="none" w:sz="0" w:space="0" w:color="auto"/>
          </w:divBdr>
          <w:divsChild>
            <w:div w:id="1259754529">
              <w:marLeft w:val="0"/>
              <w:marRight w:val="0"/>
              <w:marTop w:val="0"/>
              <w:marBottom w:val="0"/>
              <w:divBdr>
                <w:top w:val="none" w:sz="0" w:space="0" w:color="auto"/>
                <w:left w:val="none" w:sz="0" w:space="0" w:color="auto"/>
                <w:bottom w:val="none" w:sz="0" w:space="0" w:color="auto"/>
                <w:right w:val="none" w:sz="0" w:space="0" w:color="auto"/>
              </w:divBdr>
              <w:divsChild>
                <w:div w:id="173881840">
                  <w:marLeft w:val="0"/>
                  <w:marRight w:val="0"/>
                  <w:marTop w:val="0"/>
                  <w:marBottom w:val="0"/>
                  <w:divBdr>
                    <w:top w:val="none" w:sz="0" w:space="0" w:color="auto"/>
                    <w:left w:val="none" w:sz="0" w:space="0" w:color="auto"/>
                    <w:bottom w:val="none" w:sz="0" w:space="0" w:color="auto"/>
                    <w:right w:val="none" w:sz="0" w:space="0" w:color="auto"/>
                  </w:divBdr>
                  <w:divsChild>
                    <w:div w:id="745034618">
                      <w:marLeft w:val="0"/>
                      <w:marRight w:val="0"/>
                      <w:marTop w:val="0"/>
                      <w:marBottom w:val="0"/>
                      <w:divBdr>
                        <w:top w:val="none" w:sz="0" w:space="0" w:color="auto"/>
                        <w:left w:val="none" w:sz="0" w:space="0" w:color="auto"/>
                        <w:bottom w:val="none" w:sz="0" w:space="0" w:color="auto"/>
                        <w:right w:val="none" w:sz="0" w:space="0" w:color="auto"/>
                      </w:divBdr>
                      <w:divsChild>
                        <w:div w:id="1335914858">
                          <w:marLeft w:val="0"/>
                          <w:marRight w:val="0"/>
                          <w:marTop w:val="0"/>
                          <w:marBottom w:val="0"/>
                          <w:divBdr>
                            <w:top w:val="none" w:sz="0" w:space="0" w:color="auto"/>
                            <w:left w:val="none" w:sz="0" w:space="0" w:color="auto"/>
                            <w:bottom w:val="none" w:sz="0" w:space="0" w:color="auto"/>
                            <w:right w:val="none" w:sz="0" w:space="0" w:color="auto"/>
                          </w:divBdr>
                          <w:divsChild>
                            <w:div w:id="1636059233">
                              <w:marLeft w:val="0"/>
                              <w:marRight w:val="0"/>
                              <w:marTop w:val="0"/>
                              <w:marBottom w:val="0"/>
                              <w:divBdr>
                                <w:top w:val="single" w:sz="6" w:space="3" w:color="auto"/>
                                <w:left w:val="single" w:sz="6" w:space="8" w:color="auto"/>
                                <w:bottom w:val="single" w:sz="6" w:space="3" w:color="auto"/>
                                <w:right w:val="single" w:sz="6" w:space="0" w:color="auto"/>
                              </w:divBdr>
                              <w:divsChild>
                                <w:div w:id="1203597619">
                                  <w:marLeft w:val="0"/>
                                  <w:marRight w:val="0"/>
                                  <w:marTop w:val="0"/>
                                  <w:marBottom w:val="0"/>
                                  <w:divBdr>
                                    <w:top w:val="none" w:sz="0" w:space="0" w:color="auto"/>
                                    <w:left w:val="none" w:sz="0" w:space="0" w:color="auto"/>
                                    <w:bottom w:val="none" w:sz="0" w:space="0" w:color="auto"/>
                                    <w:right w:val="none" w:sz="0" w:space="0" w:color="auto"/>
                                  </w:divBdr>
                                  <w:divsChild>
                                    <w:div w:id="1340963030">
                                      <w:marLeft w:val="0"/>
                                      <w:marRight w:val="540"/>
                                      <w:marTop w:val="0"/>
                                      <w:marBottom w:val="0"/>
                                      <w:divBdr>
                                        <w:top w:val="none" w:sz="0" w:space="0" w:color="auto"/>
                                        <w:left w:val="none" w:sz="0" w:space="0" w:color="auto"/>
                                        <w:bottom w:val="none" w:sz="0" w:space="0" w:color="auto"/>
                                        <w:right w:val="none" w:sz="0" w:space="0" w:color="auto"/>
                                      </w:divBdr>
                                      <w:divsChild>
                                        <w:div w:id="1123040029">
                                          <w:marLeft w:val="0"/>
                                          <w:marRight w:val="0"/>
                                          <w:marTop w:val="0"/>
                                          <w:marBottom w:val="0"/>
                                          <w:divBdr>
                                            <w:top w:val="none" w:sz="0" w:space="0" w:color="auto"/>
                                            <w:left w:val="none" w:sz="0" w:space="0" w:color="auto"/>
                                            <w:bottom w:val="none" w:sz="0" w:space="0" w:color="auto"/>
                                            <w:right w:val="none" w:sz="0" w:space="0" w:color="auto"/>
                                          </w:divBdr>
                                          <w:divsChild>
                                            <w:div w:id="1087967188">
                                              <w:marLeft w:val="0"/>
                                              <w:marRight w:val="0"/>
                                              <w:marTop w:val="0"/>
                                              <w:marBottom w:val="0"/>
                                              <w:divBdr>
                                                <w:top w:val="none" w:sz="0" w:space="0" w:color="auto"/>
                                                <w:left w:val="none" w:sz="0" w:space="0" w:color="auto"/>
                                                <w:bottom w:val="none" w:sz="0" w:space="0" w:color="auto"/>
                                                <w:right w:val="none" w:sz="0" w:space="0" w:color="auto"/>
                                              </w:divBdr>
                                              <w:divsChild>
                                                <w:div w:id="110057320">
                                                  <w:marLeft w:val="0"/>
                                                  <w:marRight w:val="0"/>
                                                  <w:marTop w:val="0"/>
                                                  <w:marBottom w:val="0"/>
                                                  <w:divBdr>
                                                    <w:top w:val="none" w:sz="0" w:space="0" w:color="auto"/>
                                                    <w:left w:val="none" w:sz="0" w:space="0" w:color="auto"/>
                                                    <w:bottom w:val="none" w:sz="0" w:space="0" w:color="auto"/>
                                                    <w:right w:val="none" w:sz="0" w:space="0" w:color="auto"/>
                                                  </w:divBdr>
                                                  <w:divsChild>
                                                    <w:div w:id="95140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348</Words>
  <Characters>1990</Characters>
  <Application>Microsoft Office Word</Application>
  <DocSecurity>0</DocSecurity>
  <Lines>16</Lines>
  <Paragraphs>4</Paragraphs>
  <ScaleCrop>false</ScaleCrop>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 Noonan (student)</dc:creator>
  <cp:keywords/>
  <dc:description/>
  <cp:lastModifiedBy>Sanjay Noonan (student)</cp:lastModifiedBy>
  <cp:revision>1</cp:revision>
  <dcterms:created xsi:type="dcterms:W3CDTF">2021-02-04T13:36:00Z</dcterms:created>
  <dcterms:modified xsi:type="dcterms:W3CDTF">2021-02-04T13:38:00Z</dcterms:modified>
</cp:coreProperties>
</file>