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35BF5" w14:textId="03489BE0" w:rsidR="00C62B8F" w:rsidRPr="00061D9F" w:rsidRDefault="003E595F" w:rsidP="00351CF4">
      <w:pPr>
        <w:autoSpaceDE w:val="0"/>
        <w:autoSpaceDN w:val="0"/>
        <w:adjustRightInd w:val="0"/>
        <w:rPr>
          <w:rFonts w:ascii="Arial" w:hAnsi="Arial" w:cs="Arial"/>
          <w:b/>
          <w:szCs w:val="28"/>
        </w:rPr>
      </w:pPr>
      <w:r w:rsidRPr="009F4371">
        <w:rPr>
          <w:rFonts w:ascii="Arial" w:hAnsi="Arial" w:cs="Arial"/>
          <w:b/>
          <w:szCs w:val="28"/>
        </w:rPr>
        <w:t>Cutaneous Amyloidosis</w:t>
      </w:r>
      <w:r w:rsidR="00351CF4" w:rsidRPr="009F4371">
        <w:rPr>
          <w:rFonts w:ascii="Arial" w:hAnsi="Arial" w:cs="Arial"/>
          <w:b/>
          <w:szCs w:val="28"/>
        </w:rPr>
        <w:t xml:space="preserve">: </w:t>
      </w:r>
      <w:r w:rsidR="00061D9F" w:rsidRPr="009F4371">
        <w:rPr>
          <w:rFonts w:ascii="Arial" w:hAnsi="Arial" w:cs="Arial"/>
          <w:b/>
          <w:szCs w:val="28"/>
        </w:rPr>
        <w:t xml:space="preserve">A </w:t>
      </w:r>
      <w:r w:rsidR="00C62B8F" w:rsidRPr="009F4371">
        <w:rPr>
          <w:rFonts w:ascii="Arial" w:hAnsi="Arial" w:cs="Arial"/>
          <w:b/>
          <w:szCs w:val="28"/>
        </w:rPr>
        <w:t xml:space="preserve">case report and </w:t>
      </w:r>
      <w:r w:rsidR="00061D9F" w:rsidRPr="009F4371">
        <w:rPr>
          <w:rFonts w:ascii="Arial" w:hAnsi="Arial" w:cs="Arial"/>
          <w:b/>
          <w:szCs w:val="28"/>
        </w:rPr>
        <w:t>literature</w:t>
      </w:r>
      <w:r w:rsidR="00C62B8F" w:rsidRPr="009F4371">
        <w:rPr>
          <w:rFonts w:ascii="Arial" w:hAnsi="Arial" w:cs="Arial"/>
          <w:b/>
          <w:szCs w:val="28"/>
        </w:rPr>
        <w:t xml:space="preserve"> review</w:t>
      </w:r>
    </w:p>
    <w:p w14:paraId="397B937B" w14:textId="77777777" w:rsidR="00351CF4" w:rsidRDefault="00351CF4" w:rsidP="00C62B8F">
      <w:pPr>
        <w:autoSpaceDE w:val="0"/>
        <w:autoSpaceDN w:val="0"/>
        <w:adjustRightInd w:val="0"/>
        <w:jc w:val="center"/>
        <w:rPr>
          <w:rFonts w:ascii="Arial" w:hAnsi="Arial" w:cs="Arial"/>
          <w:b/>
          <w:sz w:val="28"/>
          <w:szCs w:val="28"/>
        </w:rPr>
      </w:pPr>
    </w:p>
    <w:p w14:paraId="54D5A87A" w14:textId="77777777" w:rsidR="00C62B8F" w:rsidRDefault="00C62B8F" w:rsidP="00C62B8F">
      <w:pPr>
        <w:autoSpaceDE w:val="0"/>
        <w:autoSpaceDN w:val="0"/>
        <w:adjustRightInd w:val="0"/>
        <w:rPr>
          <w:rFonts w:ascii="Arial" w:hAnsi="Arial" w:cs="Arial"/>
          <w:b/>
          <w:sz w:val="20"/>
          <w:szCs w:val="20"/>
        </w:rPr>
      </w:pPr>
    </w:p>
    <w:p w14:paraId="23AD4583" w14:textId="6B010666" w:rsidR="00CC5E7A" w:rsidRDefault="00351CF4" w:rsidP="00C62B8F">
      <w:pPr>
        <w:autoSpaceDE w:val="0"/>
        <w:autoSpaceDN w:val="0"/>
        <w:adjustRightInd w:val="0"/>
        <w:rPr>
          <w:rFonts w:ascii="Arial" w:hAnsi="Arial" w:cs="Arial"/>
          <w:sz w:val="20"/>
          <w:szCs w:val="20"/>
        </w:rPr>
      </w:pPr>
      <w:r>
        <w:rPr>
          <w:rFonts w:ascii="Arial" w:hAnsi="Arial" w:cs="Arial"/>
          <w:sz w:val="20"/>
          <w:szCs w:val="20"/>
        </w:rPr>
        <w:t>M</w:t>
      </w:r>
      <w:r w:rsidR="00061D9F">
        <w:rPr>
          <w:rFonts w:ascii="Arial" w:hAnsi="Arial" w:cs="Arial"/>
          <w:sz w:val="20"/>
          <w:szCs w:val="20"/>
        </w:rPr>
        <w:t xml:space="preserve"> </w:t>
      </w:r>
      <w:r>
        <w:rPr>
          <w:rFonts w:ascii="Arial" w:hAnsi="Arial" w:cs="Arial"/>
          <w:sz w:val="20"/>
          <w:szCs w:val="20"/>
        </w:rPr>
        <w:t xml:space="preserve">Moatamedi, </w:t>
      </w:r>
      <w:r w:rsidR="00C62B8F">
        <w:rPr>
          <w:rFonts w:ascii="Arial" w:hAnsi="Arial" w:cs="Arial"/>
          <w:sz w:val="20"/>
          <w:szCs w:val="20"/>
        </w:rPr>
        <w:t>Department of Dermatology, Salford Royal Hospital NHS Foundation Trust, UK</w:t>
      </w:r>
    </w:p>
    <w:p w14:paraId="4950695D" w14:textId="0CCE3EA4" w:rsidR="00CC5E7A" w:rsidRDefault="00CC5E7A" w:rsidP="00C62B8F">
      <w:pPr>
        <w:autoSpaceDE w:val="0"/>
        <w:autoSpaceDN w:val="0"/>
        <w:adjustRightInd w:val="0"/>
        <w:rPr>
          <w:rFonts w:ascii="Arial" w:hAnsi="Arial" w:cs="Arial"/>
          <w:sz w:val="20"/>
          <w:szCs w:val="20"/>
        </w:rPr>
      </w:pPr>
    </w:p>
    <w:p w14:paraId="2CE6E629" w14:textId="64FA8A3C" w:rsidR="00C62B8F" w:rsidRDefault="009F4371" w:rsidP="00C62B8F">
      <w:pPr>
        <w:autoSpaceDE w:val="0"/>
        <w:autoSpaceDN w:val="0"/>
        <w:adjustRightInd w:val="0"/>
        <w:rPr>
          <w:rFonts w:ascii="&amp;quot" w:hAnsi="&amp;quot"/>
          <w:color w:val="000000"/>
          <w:sz w:val="20"/>
          <w:szCs w:val="20"/>
          <w:bdr w:val="none" w:sz="0" w:space="0" w:color="auto" w:frame="1"/>
        </w:rPr>
      </w:pPr>
      <w:r>
        <w:rPr>
          <w:rFonts w:ascii="&amp;quot" w:hAnsi="&amp;quot"/>
          <w:color w:val="000000"/>
          <w:sz w:val="20"/>
          <w:szCs w:val="20"/>
          <w:bdr w:val="none" w:sz="0" w:space="0" w:color="auto" w:frame="1"/>
        </w:rPr>
        <w:t xml:space="preserve">Mohammad H </w:t>
      </w:r>
      <w:proofErr w:type="spellStart"/>
      <w:r>
        <w:rPr>
          <w:rFonts w:ascii="&amp;quot" w:hAnsi="&amp;quot"/>
          <w:color w:val="000000"/>
          <w:sz w:val="20"/>
          <w:szCs w:val="20"/>
          <w:bdr w:val="none" w:sz="0" w:space="0" w:color="auto" w:frame="1"/>
        </w:rPr>
        <w:t>Derakhshan</w:t>
      </w:r>
      <w:proofErr w:type="spellEnd"/>
      <w:r>
        <w:rPr>
          <w:rFonts w:ascii="&amp;quot" w:hAnsi="&amp;quot"/>
          <w:color w:val="000000"/>
          <w:sz w:val="20"/>
          <w:szCs w:val="20"/>
          <w:bdr w:val="none" w:sz="0" w:space="0" w:color="auto" w:frame="1"/>
        </w:rPr>
        <w:t>, College of MVLS, University of Glasgow, UK</w:t>
      </w:r>
    </w:p>
    <w:p w14:paraId="7A95FFB4" w14:textId="77777777" w:rsidR="009F4371" w:rsidRDefault="009F4371" w:rsidP="00C62B8F">
      <w:pPr>
        <w:autoSpaceDE w:val="0"/>
        <w:autoSpaceDN w:val="0"/>
        <w:adjustRightInd w:val="0"/>
        <w:rPr>
          <w:rFonts w:ascii="Arial" w:hAnsi="Arial" w:cs="Arial"/>
        </w:rPr>
      </w:pPr>
    </w:p>
    <w:p w14:paraId="31187069" w14:textId="77777777" w:rsidR="00C62B8F" w:rsidRPr="00061D9F" w:rsidRDefault="00C62B8F" w:rsidP="00C62B8F">
      <w:pPr>
        <w:autoSpaceDE w:val="0"/>
        <w:autoSpaceDN w:val="0"/>
        <w:adjustRightInd w:val="0"/>
        <w:rPr>
          <w:rFonts w:ascii="Arial" w:hAnsi="Arial" w:cs="Arial"/>
          <w:sz w:val="22"/>
          <w:szCs w:val="22"/>
        </w:rPr>
      </w:pPr>
    </w:p>
    <w:p w14:paraId="119D4ADB" w14:textId="77777777" w:rsidR="00C62B8F" w:rsidRPr="00061D9F" w:rsidRDefault="00C62B8F" w:rsidP="00C62B8F">
      <w:pPr>
        <w:autoSpaceDE w:val="0"/>
        <w:autoSpaceDN w:val="0"/>
        <w:adjustRightInd w:val="0"/>
        <w:spacing w:line="276" w:lineRule="auto"/>
        <w:rPr>
          <w:rFonts w:ascii="Arial" w:hAnsi="Arial" w:cs="Arial"/>
          <w:sz w:val="22"/>
          <w:szCs w:val="22"/>
          <w:u w:val="single"/>
        </w:rPr>
      </w:pPr>
      <w:r w:rsidRPr="00061D9F">
        <w:rPr>
          <w:rFonts w:ascii="Arial" w:hAnsi="Arial" w:cs="Arial"/>
          <w:sz w:val="22"/>
          <w:szCs w:val="22"/>
          <w:u w:val="single"/>
        </w:rPr>
        <w:t>Clinical Finding:</w:t>
      </w:r>
    </w:p>
    <w:p w14:paraId="5A4D7DD0" w14:textId="77777777" w:rsidR="00C62B8F" w:rsidRPr="00061D9F" w:rsidRDefault="00C62B8F" w:rsidP="00C62B8F">
      <w:pPr>
        <w:autoSpaceDE w:val="0"/>
        <w:autoSpaceDN w:val="0"/>
        <w:adjustRightInd w:val="0"/>
        <w:spacing w:line="276" w:lineRule="auto"/>
        <w:rPr>
          <w:rFonts w:ascii="Arial" w:hAnsi="Arial" w:cs="Arial"/>
          <w:sz w:val="22"/>
          <w:szCs w:val="22"/>
          <w:u w:val="single"/>
        </w:rPr>
      </w:pPr>
    </w:p>
    <w:p w14:paraId="69E06EA0" w14:textId="34F228A2" w:rsidR="00C62B8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A 63 years old female presented with a 6-year history of discoloured areas on right palm, right middle and ring fingers. She was asymptomatic except for one episode of bleeding following minor trauma. She was right handed.</w:t>
      </w:r>
    </w:p>
    <w:p w14:paraId="490D8C38" w14:textId="77777777" w:rsidR="009447AC" w:rsidRPr="00061D9F" w:rsidRDefault="009447AC" w:rsidP="00C62B8F">
      <w:pPr>
        <w:autoSpaceDE w:val="0"/>
        <w:autoSpaceDN w:val="0"/>
        <w:adjustRightInd w:val="0"/>
        <w:spacing w:line="276" w:lineRule="auto"/>
        <w:rPr>
          <w:rFonts w:ascii="Arial" w:hAnsi="Arial" w:cs="Arial"/>
          <w:sz w:val="22"/>
          <w:szCs w:val="22"/>
        </w:rPr>
      </w:pPr>
    </w:p>
    <w:p w14:paraId="6200D6B3" w14:textId="36CF23CD" w:rsidR="00C62B8F" w:rsidRPr="00061D9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 xml:space="preserve">Past medical history included premature labour followed by total abdominal hysterectomy, </w:t>
      </w:r>
      <w:r w:rsidR="00DB65FE" w:rsidRPr="00061D9F">
        <w:rPr>
          <w:rFonts w:ascii="Arial" w:hAnsi="Arial" w:cs="Arial"/>
          <w:sz w:val="22"/>
          <w:szCs w:val="22"/>
        </w:rPr>
        <w:t>i</w:t>
      </w:r>
      <w:r w:rsidRPr="00061D9F">
        <w:rPr>
          <w:rFonts w:ascii="Arial" w:hAnsi="Arial" w:cs="Arial"/>
          <w:sz w:val="22"/>
          <w:szCs w:val="22"/>
        </w:rPr>
        <w:t xml:space="preserve">rritable bowel syndrome, essential hypertension, duodenal ulcer, CVA and </w:t>
      </w:r>
      <w:r w:rsidR="00DB65FE" w:rsidRPr="00061D9F">
        <w:rPr>
          <w:rFonts w:ascii="Arial" w:hAnsi="Arial" w:cs="Arial"/>
          <w:sz w:val="22"/>
          <w:szCs w:val="22"/>
        </w:rPr>
        <w:t>d</w:t>
      </w:r>
      <w:r w:rsidRPr="00061D9F">
        <w:rPr>
          <w:rFonts w:ascii="Arial" w:hAnsi="Arial" w:cs="Arial"/>
          <w:sz w:val="22"/>
          <w:szCs w:val="22"/>
        </w:rPr>
        <w:t>epression. She was an ex-smoker. Her current medication included Aspirin. There was no drug allergy.</w:t>
      </w:r>
    </w:p>
    <w:p w14:paraId="5539846A" w14:textId="77777777" w:rsidR="00C62B8F" w:rsidRPr="00061D9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Examination revealed dull red, fl</w:t>
      </w:r>
      <w:r w:rsidR="00AA0436" w:rsidRPr="00061D9F">
        <w:rPr>
          <w:rFonts w:ascii="Arial" w:hAnsi="Arial" w:cs="Arial"/>
          <w:sz w:val="22"/>
          <w:szCs w:val="22"/>
        </w:rPr>
        <w:t>at, non-pulsatile areas on palm (</w:t>
      </w:r>
      <w:r w:rsidR="00CC75FE" w:rsidRPr="00061D9F">
        <w:rPr>
          <w:rFonts w:ascii="Arial" w:hAnsi="Arial" w:cs="Arial"/>
          <w:sz w:val="22"/>
          <w:szCs w:val="22"/>
        </w:rPr>
        <w:t>Fig 1 and 2</w:t>
      </w:r>
      <w:r w:rsidR="00AA0436" w:rsidRPr="00061D9F">
        <w:rPr>
          <w:rFonts w:ascii="Arial" w:hAnsi="Arial" w:cs="Arial"/>
          <w:sz w:val="22"/>
          <w:szCs w:val="22"/>
        </w:rPr>
        <w:t>).</w:t>
      </w:r>
      <w:r w:rsidRPr="00061D9F">
        <w:rPr>
          <w:rFonts w:ascii="Arial" w:hAnsi="Arial" w:cs="Arial"/>
          <w:sz w:val="22"/>
          <w:szCs w:val="22"/>
        </w:rPr>
        <w:t xml:space="preserve"> There was no hyperkeratosis or ulceration. Small venous lake on right upper lip was noted.</w:t>
      </w:r>
    </w:p>
    <w:p w14:paraId="1A99CC39" w14:textId="77777777" w:rsidR="00C62B8F" w:rsidRPr="00061D9F" w:rsidRDefault="00C62B8F" w:rsidP="00C62B8F">
      <w:pPr>
        <w:autoSpaceDE w:val="0"/>
        <w:autoSpaceDN w:val="0"/>
        <w:adjustRightInd w:val="0"/>
        <w:spacing w:line="276" w:lineRule="auto"/>
        <w:rPr>
          <w:rFonts w:ascii="Arial" w:hAnsi="Arial" w:cs="Arial"/>
          <w:sz w:val="22"/>
          <w:szCs w:val="22"/>
        </w:rPr>
      </w:pPr>
    </w:p>
    <w:p w14:paraId="193C67E6" w14:textId="77777777" w:rsidR="00C62B8F" w:rsidRPr="00061D9F" w:rsidRDefault="00C62B8F" w:rsidP="00C62B8F">
      <w:pPr>
        <w:autoSpaceDE w:val="0"/>
        <w:autoSpaceDN w:val="0"/>
        <w:adjustRightInd w:val="0"/>
        <w:spacing w:line="276" w:lineRule="auto"/>
        <w:rPr>
          <w:rFonts w:ascii="Arial" w:hAnsi="Arial" w:cs="Arial"/>
          <w:sz w:val="22"/>
          <w:szCs w:val="22"/>
        </w:rPr>
      </w:pPr>
    </w:p>
    <w:p w14:paraId="3D6A9714" w14:textId="77777777" w:rsidR="00C62B8F" w:rsidRPr="00061D9F" w:rsidRDefault="00C62B8F" w:rsidP="00C62B8F">
      <w:pPr>
        <w:autoSpaceDE w:val="0"/>
        <w:autoSpaceDN w:val="0"/>
        <w:adjustRightInd w:val="0"/>
        <w:spacing w:line="276" w:lineRule="auto"/>
        <w:rPr>
          <w:rFonts w:ascii="Arial" w:hAnsi="Arial" w:cs="Arial"/>
          <w:sz w:val="22"/>
          <w:szCs w:val="22"/>
          <w:u w:val="single"/>
        </w:rPr>
      </w:pPr>
      <w:r w:rsidRPr="00061D9F">
        <w:rPr>
          <w:rFonts w:ascii="Arial" w:hAnsi="Arial" w:cs="Arial"/>
          <w:sz w:val="22"/>
          <w:szCs w:val="22"/>
          <w:u w:val="single"/>
        </w:rPr>
        <w:t>Investigations:</w:t>
      </w:r>
    </w:p>
    <w:p w14:paraId="3D32C0C5" w14:textId="77777777" w:rsidR="00C62B8F" w:rsidRPr="00061D9F" w:rsidRDefault="00C62B8F" w:rsidP="00C62B8F">
      <w:pPr>
        <w:autoSpaceDE w:val="0"/>
        <w:autoSpaceDN w:val="0"/>
        <w:adjustRightInd w:val="0"/>
        <w:spacing w:line="276" w:lineRule="auto"/>
        <w:rPr>
          <w:rFonts w:ascii="Arial" w:hAnsi="Arial" w:cs="Arial"/>
          <w:sz w:val="22"/>
          <w:szCs w:val="22"/>
          <w:u w:val="single"/>
        </w:rPr>
      </w:pPr>
    </w:p>
    <w:p w14:paraId="5F1A0B9F" w14:textId="26F2678B" w:rsidR="00C62B8F" w:rsidRPr="00061D9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Blood tests including FBC, BCP, LFT and CRP reported within normal values. Immuno</w:t>
      </w:r>
      <w:r w:rsidR="00DB65FE" w:rsidRPr="00061D9F">
        <w:rPr>
          <w:rFonts w:ascii="Arial" w:hAnsi="Arial" w:cs="Arial"/>
          <w:sz w:val="22"/>
          <w:szCs w:val="22"/>
        </w:rPr>
        <w:t>-</w:t>
      </w:r>
      <w:r w:rsidRPr="00061D9F">
        <w:rPr>
          <w:rFonts w:ascii="Arial" w:hAnsi="Arial" w:cs="Arial"/>
          <w:sz w:val="22"/>
          <w:szCs w:val="22"/>
        </w:rPr>
        <w:t xml:space="preserve">electrophoresis resulted in slight increase in IgM but no </w:t>
      </w:r>
      <w:r w:rsidR="00DB65FE" w:rsidRPr="00061D9F">
        <w:rPr>
          <w:rFonts w:ascii="Arial" w:hAnsi="Arial" w:cs="Arial"/>
          <w:sz w:val="22"/>
          <w:szCs w:val="22"/>
        </w:rPr>
        <w:t>p</w:t>
      </w:r>
      <w:r w:rsidRPr="00061D9F">
        <w:rPr>
          <w:rFonts w:ascii="Arial" w:hAnsi="Arial" w:cs="Arial"/>
          <w:sz w:val="22"/>
          <w:szCs w:val="22"/>
        </w:rPr>
        <w:t>ara-protein band. There was no evidence of Bence Jones proteinuria.</w:t>
      </w:r>
    </w:p>
    <w:p w14:paraId="053CCC99" w14:textId="77777777" w:rsidR="00C62B8F" w:rsidRPr="00061D9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Skin biopsy was performed with following findings</w:t>
      </w:r>
      <w:r w:rsidR="00CC75FE" w:rsidRPr="00061D9F">
        <w:rPr>
          <w:rFonts w:ascii="Arial" w:hAnsi="Arial" w:cs="Arial"/>
          <w:sz w:val="22"/>
          <w:szCs w:val="22"/>
        </w:rPr>
        <w:t xml:space="preserve"> (Fig 3):</w:t>
      </w:r>
    </w:p>
    <w:p w14:paraId="0881CA66" w14:textId="77777777" w:rsidR="00C62B8F" w:rsidRPr="00061D9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Epidermis: thick keratin</w:t>
      </w:r>
    </w:p>
    <w:p w14:paraId="763E6319" w14:textId="6571F688" w:rsidR="00C62B8F" w:rsidRPr="00061D9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Dermis</w:t>
      </w:r>
      <w:r w:rsidRPr="009F4371">
        <w:rPr>
          <w:rFonts w:ascii="Arial" w:hAnsi="Arial" w:cs="Arial"/>
          <w:sz w:val="22"/>
          <w:szCs w:val="22"/>
        </w:rPr>
        <w:t>: e</w:t>
      </w:r>
      <w:r w:rsidR="00DB65FE" w:rsidRPr="009F4371">
        <w:rPr>
          <w:rFonts w:ascii="Arial" w:hAnsi="Arial" w:cs="Arial"/>
          <w:sz w:val="22"/>
          <w:szCs w:val="22"/>
        </w:rPr>
        <w:t>o</w:t>
      </w:r>
      <w:r w:rsidRPr="009F4371">
        <w:rPr>
          <w:rFonts w:ascii="Arial" w:hAnsi="Arial" w:cs="Arial"/>
          <w:sz w:val="22"/>
          <w:szCs w:val="22"/>
        </w:rPr>
        <w:t xml:space="preserve">sinophilic </w:t>
      </w:r>
      <w:r w:rsidRPr="00061D9F">
        <w:rPr>
          <w:rFonts w:ascii="Arial" w:hAnsi="Arial" w:cs="Arial"/>
          <w:sz w:val="22"/>
          <w:szCs w:val="22"/>
        </w:rPr>
        <w:t xml:space="preserve">material, probably fibrin with loose </w:t>
      </w:r>
      <w:r w:rsidRPr="009F4371">
        <w:rPr>
          <w:rFonts w:ascii="Arial" w:hAnsi="Arial" w:cs="Arial"/>
          <w:sz w:val="22"/>
          <w:szCs w:val="22"/>
        </w:rPr>
        <w:t>str</w:t>
      </w:r>
      <w:r w:rsidR="00DB65FE" w:rsidRPr="009F4371">
        <w:rPr>
          <w:rFonts w:ascii="Arial" w:hAnsi="Arial" w:cs="Arial"/>
          <w:sz w:val="22"/>
          <w:szCs w:val="22"/>
        </w:rPr>
        <w:t>o</w:t>
      </w:r>
      <w:r w:rsidRPr="009F4371">
        <w:rPr>
          <w:rFonts w:ascii="Arial" w:hAnsi="Arial" w:cs="Arial"/>
          <w:sz w:val="22"/>
          <w:szCs w:val="22"/>
        </w:rPr>
        <w:t>ma</w:t>
      </w:r>
      <w:r w:rsidRPr="00061D9F">
        <w:rPr>
          <w:rFonts w:ascii="Arial" w:hAnsi="Arial" w:cs="Arial"/>
          <w:sz w:val="22"/>
          <w:szCs w:val="22"/>
        </w:rPr>
        <w:t xml:space="preserve"> and loose red cells, some ectasia of small blood vessels but no haemosiderin.</w:t>
      </w:r>
    </w:p>
    <w:p w14:paraId="526CB130" w14:textId="77777777" w:rsidR="00C62B8F" w:rsidRPr="00061D9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Histology sample re-examined. Patient declined to have rectal biopsy.</w:t>
      </w:r>
    </w:p>
    <w:p w14:paraId="2ED66910" w14:textId="77777777" w:rsidR="00C62B8F" w:rsidRPr="00061D9F" w:rsidRDefault="00C62B8F" w:rsidP="00C62B8F">
      <w:pPr>
        <w:autoSpaceDE w:val="0"/>
        <w:autoSpaceDN w:val="0"/>
        <w:adjustRightInd w:val="0"/>
        <w:spacing w:line="276" w:lineRule="auto"/>
        <w:rPr>
          <w:rFonts w:ascii="Arial" w:hAnsi="Arial" w:cs="Arial"/>
          <w:sz w:val="22"/>
          <w:szCs w:val="22"/>
        </w:rPr>
      </w:pPr>
      <w:r w:rsidRPr="00061D9F">
        <w:rPr>
          <w:rFonts w:ascii="Arial" w:hAnsi="Arial" w:cs="Arial"/>
          <w:sz w:val="22"/>
          <w:szCs w:val="22"/>
        </w:rPr>
        <w:t>Diagnosis</w:t>
      </w:r>
      <w:r w:rsidRPr="00061D9F">
        <w:rPr>
          <w:rFonts w:ascii="Arial" w:hAnsi="Arial" w:cs="Arial"/>
          <w:b/>
          <w:sz w:val="22"/>
          <w:szCs w:val="22"/>
        </w:rPr>
        <w:t>:</w:t>
      </w:r>
      <w:r w:rsidRPr="00061D9F">
        <w:rPr>
          <w:rFonts w:ascii="Arial" w:hAnsi="Arial" w:cs="Arial"/>
          <w:sz w:val="22"/>
          <w:szCs w:val="22"/>
        </w:rPr>
        <w:t xml:space="preserve"> Cutaneous Amyloidosis</w:t>
      </w:r>
    </w:p>
    <w:p w14:paraId="7289507E" w14:textId="77777777" w:rsidR="00C62B8F" w:rsidRPr="00061D9F" w:rsidRDefault="00C62B8F" w:rsidP="00C62B8F">
      <w:pPr>
        <w:autoSpaceDE w:val="0"/>
        <w:autoSpaceDN w:val="0"/>
        <w:adjustRightInd w:val="0"/>
        <w:spacing w:line="276" w:lineRule="auto"/>
        <w:rPr>
          <w:rFonts w:ascii="Arial" w:hAnsi="Arial" w:cs="Arial"/>
          <w:sz w:val="22"/>
          <w:szCs w:val="22"/>
        </w:rPr>
      </w:pPr>
    </w:p>
    <w:p w14:paraId="18E1EF22" w14:textId="77777777" w:rsidR="00C62B8F" w:rsidRPr="00061D9F" w:rsidRDefault="00C62B8F" w:rsidP="00C62B8F">
      <w:pPr>
        <w:autoSpaceDE w:val="0"/>
        <w:autoSpaceDN w:val="0"/>
        <w:adjustRightInd w:val="0"/>
        <w:spacing w:line="276" w:lineRule="auto"/>
        <w:rPr>
          <w:rFonts w:ascii="Arial" w:hAnsi="Arial" w:cs="Arial"/>
          <w:sz w:val="22"/>
          <w:szCs w:val="22"/>
        </w:rPr>
      </w:pPr>
    </w:p>
    <w:p w14:paraId="2E9F9A7C" w14:textId="77777777" w:rsidR="00C62B8F" w:rsidRPr="00061D9F" w:rsidRDefault="00C62B8F" w:rsidP="00C62B8F">
      <w:pPr>
        <w:autoSpaceDE w:val="0"/>
        <w:autoSpaceDN w:val="0"/>
        <w:adjustRightInd w:val="0"/>
        <w:spacing w:line="276" w:lineRule="auto"/>
        <w:rPr>
          <w:rFonts w:ascii="Arial" w:hAnsi="Arial" w:cs="Arial"/>
          <w:sz w:val="22"/>
          <w:szCs w:val="22"/>
          <w:u w:val="single"/>
        </w:rPr>
      </w:pPr>
      <w:r w:rsidRPr="00061D9F">
        <w:rPr>
          <w:rFonts w:ascii="Arial" w:hAnsi="Arial" w:cs="Arial"/>
          <w:sz w:val="22"/>
          <w:szCs w:val="22"/>
          <w:u w:val="single"/>
        </w:rPr>
        <w:t>Discussion:</w:t>
      </w:r>
    </w:p>
    <w:p w14:paraId="3BF64430" w14:textId="77777777" w:rsidR="00C62B8F" w:rsidRPr="00061D9F" w:rsidRDefault="00C62B8F" w:rsidP="00C62B8F">
      <w:pPr>
        <w:autoSpaceDE w:val="0"/>
        <w:autoSpaceDN w:val="0"/>
        <w:adjustRightInd w:val="0"/>
        <w:spacing w:line="276" w:lineRule="auto"/>
        <w:rPr>
          <w:rFonts w:ascii="Arial" w:hAnsi="Arial" w:cs="Arial"/>
          <w:sz w:val="22"/>
          <w:szCs w:val="22"/>
          <w:u w:val="single"/>
        </w:rPr>
      </w:pPr>
    </w:p>
    <w:p w14:paraId="71A2C7AA" w14:textId="055B6EC7" w:rsidR="00C62B8F" w:rsidRPr="002C39F2" w:rsidRDefault="00C62B8F" w:rsidP="00C62B8F">
      <w:pPr>
        <w:autoSpaceDE w:val="0"/>
        <w:autoSpaceDN w:val="0"/>
        <w:adjustRightInd w:val="0"/>
        <w:spacing w:line="276" w:lineRule="auto"/>
        <w:rPr>
          <w:rStyle w:val="Emphasis"/>
          <w:b w:val="0"/>
          <w:color w:val="000000" w:themeColor="text1"/>
          <w:sz w:val="22"/>
          <w:szCs w:val="22"/>
        </w:rPr>
      </w:pPr>
      <w:r w:rsidRPr="002C39F2">
        <w:rPr>
          <w:rFonts w:ascii="Arial" w:hAnsi="Arial" w:cs="Arial"/>
          <w:color w:val="000000" w:themeColor="text1"/>
          <w:sz w:val="22"/>
          <w:szCs w:val="22"/>
        </w:rPr>
        <w:t xml:space="preserve">Amyloidosis is defined by extra-cellular deposition of proteinaceous substance or various insoluble proteins that results in considerable tissue dysfunction. It may affect heart, kidney, gastrointestinal tract, nervous system and skin (dermal layer). It was first reported by </w:t>
      </w:r>
      <w:r w:rsidRPr="002C39F2">
        <w:rPr>
          <w:rStyle w:val="Emphasis"/>
          <w:rFonts w:ascii="Arial" w:hAnsi="Arial" w:cs="Arial"/>
          <w:b w:val="0"/>
          <w:color w:val="000000" w:themeColor="text1"/>
          <w:sz w:val="22"/>
          <w:szCs w:val="22"/>
        </w:rPr>
        <w:t xml:space="preserve">Rudolph Virchow, </w:t>
      </w:r>
      <w:r w:rsidRPr="002C39F2">
        <w:rPr>
          <w:rFonts w:ascii="Arial" w:hAnsi="Arial" w:cs="Arial"/>
          <w:color w:val="000000" w:themeColor="text1"/>
          <w:sz w:val="22"/>
          <w:szCs w:val="22"/>
        </w:rPr>
        <w:t xml:space="preserve">German </w:t>
      </w:r>
      <w:r w:rsidRPr="002C39F2">
        <w:rPr>
          <w:rStyle w:val="Emphasis"/>
          <w:rFonts w:ascii="Arial" w:hAnsi="Arial" w:cs="Arial"/>
          <w:b w:val="0"/>
          <w:color w:val="000000" w:themeColor="text1"/>
          <w:sz w:val="22"/>
          <w:szCs w:val="22"/>
        </w:rPr>
        <w:t>physician</w:t>
      </w:r>
      <w:r w:rsidRPr="002C39F2">
        <w:rPr>
          <w:rFonts w:ascii="Arial" w:hAnsi="Arial" w:cs="Arial"/>
          <w:b/>
          <w:color w:val="000000" w:themeColor="text1"/>
          <w:sz w:val="22"/>
          <w:szCs w:val="22"/>
        </w:rPr>
        <w:t xml:space="preserve"> </w:t>
      </w:r>
      <w:r w:rsidRPr="002C39F2">
        <w:rPr>
          <w:rFonts w:ascii="Arial" w:hAnsi="Arial" w:cs="Arial"/>
          <w:color w:val="000000" w:themeColor="text1"/>
          <w:sz w:val="22"/>
          <w:szCs w:val="22"/>
        </w:rPr>
        <w:t>in 1854</w:t>
      </w:r>
      <w:r w:rsidRPr="002C39F2">
        <w:rPr>
          <w:rStyle w:val="Emphasis"/>
          <w:rFonts w:ascii="Arial" w:hAnsi="Arial" w:cs="Arial"/>
          <w:color w:val="000000" w:themeColor="text1"/>
          <w:sz w:val="22"/>
          <w:szCs w:val="22"/>
        </w:rPr>
        <w:t xml:space="preserve">. </w:t>
      </w:r>
      <w:r w:rsidRPr="002C39F2">
        <w:rPr>
          <w:rStyle w:val="Emphasis"/>
          <w:rFonts w:ascii="Arial" w:hAnsi="Arial" w:cs="Arial"/>
          <w:b w:val="0"/>
          <w:color w:val="000000" w:themeColor="text1"/>
          <w:sz w:val="22"/>
          <w:szCs w:val="22"/>
        </w:rPr>
        <w:t xml:space="preserve">Amyloidosis is usually classified as </w:t>
      </w:r>
      <w:r w:rsidR="0024653A" w:rsidRPr="002C39F2">
        <w:rPr>
          <w:rStyle w:val="Emphasis"/>
          <w:rFonts w:ascii="Arial" w:hAnsi="Arial" w:cs="Arial"/>
          <w:b w:val="0"/>
          <w:color w:val="000000" w:themeColor="text1"/>
          <w:sz w:val="22"/>
          <w:szCs w:val="22"/>
        </w:rPr>
        <w:t>p</w:t>
      </w:r>
      <w:r w:rsidRPr="002C39F2">
        <w:rPr>
          <w:rStyle w:val="Emphasis"/>
          <w:rFonts w:ascii="Arial" w:hAnsi="Arial" w:cs="Arial"/>
          <w:b w:val="0"/>
          <w:color w:val="000000" w:themeColor="text1"/>
          <w:sz w:val="22"/>
          <w:szCs w:val="22"/>
        </w:rPr>
        <w:t xml:space="preserve">rimary or </w:t>
      </w:r>
      <w:r w:rsidR="0024653A" w:rsidRPr="002C39F2">
        <w:rPr>
          <w:rStyle w:val="Emphasis"/>
          <w:rFonts w:ascii="Arial" w:hAnsi="Arial" w:cs="Arial"/>
          <w:b w:val="0"/>
          <w:color w:val="000000" w:themeColor="text1"/>
          <w:sz w:val="22"/>
          <w:szCs w:val="22"/>
        </w:rPr>
        <w:t>s</w:t>
      </w:r>
      <w:r w:rsidRPr="002C39F2">
        <w:rPr>
          <w:rStyle w:val="Emphasis"/>
          <w:rFonts w:ascii="Arial" w:hAnsi="Arial" w:cs="Arial"/>
          <w:b w:val="0"/>
          <w:color w:val="000000" w:themeColor="text1"/>
          <w:sz w:val="22"/>
          <w:szCs w:val="22"/>
        </w:rPr>
        <w:t>econdary according to the underlying cause. Recent classification is based on biochemical findings (Table 1).</w:t>
      </w:r>
    </w:p>
    <w:p w14:paraId="0CD2C9FC" w14:textId="77777777" w:rsidR="00C62B8F" w:rsidRPr="002C39F2" w:rsidRDefault="00C62B8F" w:rsidP="00C62B8F">
      <w:pPr>
        <w:autoSpaceDE w:val="0"/>
        <w:autoSpaceDN w:val="0"/>
        <w:adjustRightInd w:val="0"/>
        <w:spacing w:line="276" w:lineRule="auto"/>
        <w:rPr>
          <w:rStyle w:val="Emphasis"/>
          <w:rFonts w:ascii="Arial" w:hAnsi="Arial" w:cs="Arial"/>
          <w:b w:val="0"/>
          <w:color w:val="000000" w:themeColor="text1"/>
          <w:sz w:val="22"/>
          <w:szCs w:val="22"/>
        </w:rPr>
      </w:pPr>
    </w:p>
    <w:p w14:paraId="2865CC6C" w14:textId="77777777" w:rsidR="009447AC" w:rsidRDefault="00C62B8F" w:rsidP="00C62B8F">
      <w:pPr>
        <w:autoSpaceDE w:val="0"/>
        <w:autoSpaceDN w:val="0"/>
        <w:adjustRightInd w:val="0"/>
        <w:spacing w:line="276" w:lineRule="auto"/>
        <w:rPr>
          <w:color w:val="000000" w:themeColor="text1"/>
          <w:sz w:val="22"/>
          <w:szCs w:val="22"/>
        </w:rPr>
      </w:pPr>
      <w:r w:rsidRPr="002C39F2">
        <w:rPr>
          <w:rFonts w:ascii="Arial" w:hAnsi="Arial" w:cs="Arial"/>
          <w:color w:val="000000" w:themeColor="text1"/>
          <w:sz w:val="22"/>
          <w:szCs w:val="22"/>
        </w:rPr>
        <w:t>In this case</w:t>
      </w:r>
      <w:r w:rsidR="0024653A" w:rsidRPr="002C39F2">
        <w:rPr>
          <w:rFonts w:ascii="Arial" w:hAnsi="Arial" w:cs="Arial"/>
          <w:color w:val="000000" w:themeColor="text1"/>
          <w:sz w:val="22"/>
          <w:szCs w:val="22"/>
        </w:rPr>
        <w:t>,</w:t>
      </w:r>
      <w:r w:rsidRPr="002C39F2">
        <w:rPr>
          <w:rFonts w:ascii="Arial" w:hAnsi="Arial" w:cs="Arial"/>
          <w:color w:val="000000" w:themeColor="text1"/>
          <w:sz w:val="22"/>
          <w:szCs w:val="22"/>
        </w:rPr>
        <w:t xml:space="preserve"> clinical findings suggested Primary Localised Cutaneous Amyloidosis (PLCA). In this condition there is deposition of amyloid in previously normal skin with no evidence of deposits in internal organs. It is associated with chronic friction or epidermal damage - friction amyloidosis. According to the clinicopathological observations, PLCA is classified as Macular, </w:t>
      </w:r>
      <w:proofErr w:type="spellStart"/>
      <w:r w:rsidRPr="002C39F2">
        <w:rPr>
          <w:rFonts w:ascii="Arial" w:hAnsi="Arial" w:cs="Arial"/>
          <w:color w:val="000000" w:themeColor="text1"/>
          <w:sz w:val="22"/>
          <w:szCs w:val="22"/>
        </w:rPr>
        <w:t>Papular</w:t>
      </w:r>
      <w:proofErr w:type="spellEnd"/>
      <w:r w:rsidRPr="002C39F2">
        <w:rPr>
          <w:rFonts w:ascii="Arial" w:hAnsi="Arial" w:cs="Arial"/>
          <w:color w:val="000000" w:themeColor="text1"/>
          <w:sz w:val="22"/>
          <w:szCs w:val="22"/>
        </w:rPr>
        <w:t xml:space="preserve"> or </w:t>
      </w:r>
      <w:r w:rsidR="0024653A" w:rsidRPr="002C39F2">
        <w:rPr>
          <w:rFonts w:ascii="Arial" w:hAnsi="Arial" w:cs="Arial"/>
          <w:color w:val="000000" w:themeColor="text1"/>
          <w:sz w:val="22"/>
          <w:szCs w:val="22"/>
        </w:rPr>
        <w:t>Li</w:t>
      </w:r>
      <w:r w:rsidRPr="002C39F2">
        <w:rPr>
          <w:rFonts w:ascii="Arial" w:hAnsi="Arial" w:cs="Arial"/>
          <w:color w:val="000000" w:themeColor="text1"/>
          <w:sz w:val="22"/>
          <w:szCs w:val="22"/>
        </w:rPr>
        <w:t xml:space="preserve">chen </w:t>
      </w:r>
      <w:r w:rsidR="0024653A" w:rsidRPr="002C39F2">
        <w:rPr>
          <w:rFonts w:ascii="Arial" w:hAnsi="Arial" w:cs="Arial"/>
          <w:color w:val="000000" w:themeColor="text1"/>
          <w:sz w:val="22"/>
          <w:szCs w:val="22"/>
        </w:rPr>
        <w:t>A</w:t>
      </w:r>
      <w:r w:rsidRPr="002C39F2">
        <w:rPr>
          <w:rFonts w:ascii="Arial" w:hAnsi="Arial" w:cs="Arial"/>
          <w:color w:val="000000" w:themeColor="text1"/>
          <w:sz w:val="22"/>
          <w:szCs w:val="22"/>
        </w:rPr>
        <w:t xml:space="preserve">myloidosis, Nodular or </w:t>
      </w:r>
      <w:r w:rsidR="0024653A" w:rsidRPr="002C39F2">
        <w:rPr>
          <w:rFonts w:ascii="Arial" w:hAnsi="Arial" w:cs="Arial"/>
          <w:color w:val="000000" w:themeColor="text1"/>
          <w:sz w:val="22"/>
          <w:szCs w:val="22"/>
        </w:rPr>
        <w:t>T</w:t>
      </w:r>
      <w:r w:rsidRPr="002C39F2">
        <w:rPr>
          <w:rFonts w:ascii="Arial" w:hAnsi="Arial" w:cs="Arial"/>
          <w:color w:val="000000" w:themeColor="text1"/>
          <w:sz w:val="22"/>
          <w:szCs w:val="22"/>
        </w:rPr>
        <w:t xml:space="preserve">umefactive and Familial (dyschromic). </w:t>
      </w:r>
    </w:p>
    <w:p w14:paraId="587315C5" w14:textId="733A8DFB" w:rsidR="00C62B8F" w:rsidRPr="009447AC" w:rsidRDefault="00C62B8F" w:rsidP="00C62B8F">
      <w:pPr>
        <w:autoSpaceDE w:val="0"/>
        <w:autoSpaceDN w:val="0"/>
        <w:adjustRightInd w:val="0"/>
        <w:spacing w:line="276" w:lineRule="auto"/>
        <w:rPr>
          <w:color w:val="000000" w:themeColor="text1"/>
          <w:sz w:val="22"/>
          <w:szCs w:val="22"/>
        </w:rPr>
      </w:pPr>
      <w:r w:rsidRPr="002C39F2">
        <w:rPr>
          <w:rFonts w:ascii="Arial" w:hAnsi="Arial" w:cs="Arial"/>
          <w:color w:val="000000" w:themeColor="text1"/>
          <w:sz w:val="22"/>
          <w:szCs w:val="22"/>
        </w:rPr>
        <w:lastRenderedPageBreak/>
        <w:t>Macular form is presented with flat dusky-brown or grey macules that may coalesce with variable degree of itchiness. It is usually symmetrical and affects upper back, chest and occasionally arms. It presents in early adult life with female to male predominance. Pathological finding includes amyloid in papillary dermis with no involvement of blood vessels or adnexal structures. There are small amorphous globules. Epidermis has normal thickness.</w:t>
      </w:r>
    </w:p>
    <w:p w14:paraId="521713A9" w14:textId="77777777" w:rsidR="00C62B8F" w:rsidRPr="002C39F2" w:rsidRDefault="00C62B8F" w:rsidP="00C62B8F">
      <w:pPr>
        <w:autoSpaceDE w:val="0"/>
        <w:autoSpaceDN w:val="0"/>
        <w:adjustRightInd w:val="0"/>
        <w:spacing w:line="276" w:lineRule="auto"/>
        <w:rPr>
          <w:rFonts w:ascii="Arial" w:hAnsi="Arial" w:cs="Arial"/>
          <w:color w:val="000000" w:themeColor="text1"/>
          <w:sz w:val="22"/>
          <w:szCs w:val="22"/>
        </w:rPr>
      </w:pPr>
    </w:p>
    <w:p w14:paraId="5A5A2637" w14:textId="0A8A6F7D" w:rsidR="00C62B8F" w:rsidRPr="002C39F2" w:rsidRDefault="00C62B8F" w:rsidP="00C62B8F">
      <w:pPr>
        <w:autoSpaceDE w:val="0"/>
        <w:autoSpaceDN w:val="0"/>
        <w:adjustRightInd w:val="0"/>
        <w:spacing w:line="276" w:lineRule="auto"/>
        <w:rPr>
          <w:rFonts w:ascii="Arial" w:hAnsi="Arial" w:cs="Arial"/>
          <w:color w:val="000000" w:themeColor="text1"/>
          <w:sz w:val="22"/>
          <w:szCs w:val="22"/>
        </w:rPr>
      </w:pPr>
      <w:proofErr w:type="spellStart"/>
      <w:r w:rsidRPr="002C39F2">
        <w:rPr>
          <w:rFonts w:ascii="Arial" w:hAnsi="Arial" w:cs="Arial"/>
          <w:color w:val="000000" w:themeColor="text1"/>
          <w:sz w:val="22"/>
          <w:szCs w:val="22"/>
        </w:rPr>
        <w:t>Papular</w:t>
      </w:r>
      <w:proofErr w:type="spellEnd"/>
      <w:r w:rsidRPr="002C39F2">
        <w:rPr>
          <w:rFonts w:ascii="Arial" w:hAnsi="Arial" w:cs="Arial"/>
          <w:color w:val="000000" w:themeColor="text1"/>
          <w:sz w:val="22"/>
          <w:szCs w:val="22"/>
        </w:rPr>
        <w:t xml:space="preserve"> or Lichen </w:t>
      </w:r>
      <w:r w:rsidR="00E94853" w:rsidRPr="002C39F2">
        <w:rPr>
          <w:rFonts w:ascii="Arial" w:hAnsi="Arial" w:cs="Arial"/>
          <w:color w:val="000000" w:themeColor="text1"/>
          <w:sz w:val="22"/>
          <w:szCs w:val="22"/>
        </w:rPr>
        <w:t>A</w:t>
      </w:r>
      <w:r w:rsidRPr="002C39F2">
        <w:rPr>
          <w:rFonts w:ascii="Arial" w:hAnsi="Arial" w:cs="Arial"/>
          <w:color w:val="000000" w:themeColor="text1"/>
          <w:sz w:val="22"/>
          <w:szCs w:val="22"/>
        </w:rPr>
        <w:t>myloidosis is the most common form. It presents with intense itchiness and multiple scaly red or brown papules that may coalesce into plaques. It is more common male, between 50-60 years. Pathological finding includes focal deposit, large enough to expand dermal papillae displaced rete ridges.</w:t>
      </w:r>
    </w:p>
    <w:p w14:paraId="4F78F46E" w14:textId="77777777" w:rsidR="00C62B8F" w:rsidRPr="002C39F2" w:rsidRDefault="00C62B8F" w:rsidP="00C62B8F">
      <w:pPr>
        <w:autoSpaceDE w:val="0"/>
        <w:autoSpaceDN w:val="0"/>
        <w:adjustRightInd w:val="0"/>
        <w:spacing w:line="276" w:lineRule="auto"/>
        <w:rPr>
          <w:rFonts w:ascii="Arial" w:hAnsi="Arial" w:cs="Arial"/>
          <w:color w:val="000000" w:themeColor="text1"/>
          <w:sz w:val="22"/>
          <w:szCs w:val="22"/>
        </w:rPr>
      </w:pPr>
      <w:r w:rsidRPr="002C39F2">
        <w:rPr>
          <w:rFonts w:ascii="Arial" w:hAnsi="Arial" w:cs="Arial"/>
          <w:color w:val="000000" w:themeColor="text1"/>
          <w:sz w:val="22"/>
          <w:szCs w:val="22"/>
        </w:rPr>
        <w:t>Epidermis has irregular acanthosis and hyperkeratosis.</w:t>
      </w:r>
    </w:p>
    <w:p w14:paraId="6E4601BD" w14:textId="77777777" w:rsidR="00C62B8F" w:rsidRPr="002C39F2" w:rsidRDefault="00C62B8F" w:rsidP="00C62B8F">
      <w:pPr>
        <w:autoSpaceDE w:val="0"/>
        <w:autoSpaceDN w:val="0"/>
        <w:adjustRightInd w:val="0"/>
        <w:spacing w:line="276" w:lineRule="auto"/>
        <w:rPr>
          <w:rFonts w:ascii="Arial" w:hAnsi="Arial" w:cs="Arial"/>
          <w:color w:val="000000" w:themeColor="text1"/>
          <w:sz w:val="22"/>
          <w:szCs w:val="22"/>
        </w:rPr>
      </w:pPr>
    </w:p>
    <w:p w14:paraId="0EBDB170" w14:textId="77777777" w:rsidR="00C62B8F" w:rsidRPr="002C39F2" w:rsidRDefault="00C62B8F" w:rsidP="00C62B8F">
      <w:pPr>
        <w:autoSpaceDE w:val="0"/>
        <w:autoSpaceDN w:val="0"/>
        <w:adjustRightInd w:val="0"/>
        <w:spacing w:line="276" w:lineRule="auto"/>
        <w:rPr>
          <w:rFonts w:ascii="Arial" w:hAnsi="Arial" w:cs="Arial"/>
          <w:color w:val="000000" w:themeColor="text1"/>
          <w:sz w:val="22"/>
          <w:szCs w:val="22"/>
        </w:rPr>
      </w:pPr>
      <w:r w:rsidRPr="002C39F2">
        <w:rPr>
          <w:rFonts w:ascii="Arial" w:hAnsi="Arial" w:cs="Arial"/>
          <w:color w:val="000000" w:themeColor="text1"/>
          <w:sz w:val="22"/>
          <w:szCs w:val="22"/>
        </w:rPr>
        <w:t>This case suggests Macular form of PLCA although it differs from some usual clinical and pathological presentations.</w:t>
      </w:r>
    </w:p>
    <w:p w14:paraId="1E4CE03E" w14:textId="77777777" w:rsidR="00C62B8F" w:rsidRPr="002C39F2" w:rsidRDefault="00C62B8F" w:rsidP="00C62B8F">
      <w:pPr>
        <w:autoSpaceDE w:val="0"/>
        <w:autoSpaceDN w:val="0"/>
        <w:adjustRightInd w:val="0"/>
        <w:spacing w:line="276" w:lineRule="auto"/>
        <w:rPr>
          <w:rFonts w:ascii="Arial" w:hAnsi="Arial" w:cs="Arial"/>
          <w:color w:val="000000" w:themeColor="text1"/>
          <w:sz w:val="22"/>
          <w:szCs w:val="22"/>
        </w:rPr>
      </w:pPr>
    </w:p>
    <w:p w14:paraId="06437A1A" w14:textId="77777777" w:rsidR="00C62B8F" w:rsidRPr="002C39F2" w:rsidRDefault="00C62B8F" w:rsidP="00C62B8F">
      <w:pPr>
        <w:spacing w:line="276" w:lineRule="auto"/>
        <w:rPr>
          <w:rFonts w:ascii="Arial" w:hAnsi="Arial" w:cs="Arial"/>
          <w:color w:val="000000" w:themeColor="text1"/>
          <w:sz w:val="22"/>
          <w:szCs w:val="22"/>
          <w:lang w:val="en"/>
        </w:rPr>
      </w:pPr>
      <w:r w:rsidRPr="002C39F2">
        <w:rPr>
          <w:rFonts w:ascii="Arial" w:hAnsi="Arial" w:cs="Arial"/>
          <w:color w:val="000000" w:themeColor="text1"/>
          <w:sz w:val="22"/>
          <w:szCs w:val="22"/>
        </w:rPr>
        <w:t xml:space="preserve">Primary cutaneous amyloidosis has been reported in different body areas including eyelid (1) and the auricular concha (2). Cutaneous amyloidosis may be associated with systemic amyloidosis. There are case reports </w:t>
      </w:r>
      <w:r w:rsidRPr="002C39F2">
        <w:rPr>
          <w:rFonts w:ascii="Arial" w:hAnsi="Arial" w:cs="Arial"/>
          <w:color w:val="000000" w:themeColor="text1"/>
          <w:sz w:val="22"/>
          <w:szCs w:val="22"/>
          <w:lang w:val="en"/>
        </w:rPr>
        <w:t>of sarcoidosis and IgA nephropathy in association with extensive macular amyloidosis. At least a subset of PLCA patients, especially those with extensive involvement, may have associated autoimmune/immune disorders raising the possibility of a common underlying immune-mediated mechanism (3).</w:t>
      </w:r>
    </w:p>
    <w:p w14:paraId="65AFE72C" w14:textId="77777777" w:rsidR="00C62B8F" w:rsidRPr="002C39F2" w:rsidRDefault="00C62B8F" w:rsidP="00C62B8F">
      <w:pPr>
        <w:spacing w:line="276" w:lineRule="auto"/>
        <w:rPr>
          <w:rFonts w:ascii="Arial" w:hAnsi="Arial" w:cs="Arial"/>
          <w:color w:val="000000" w:themeColor="text1"/>
          <w:sz w:val="22"/>
          <w:szCs w:val="22"/>
          <w:lang w:val="en"/>
        </w:rPr>
      </w:pPr>
    </w:p>
    <w:p w14:paraId="284477E0" w14:textId="77777777" w:rsidR="00C62B8F" w:rsidRPr="002C39F2" w:rsidRDefault="00C62B8F" w:rsidP="00C62B8F">
      <w:pPr>
        <w:spacing w:line="276" w:lineRule="auto"/>
        <w:rPr>
          <w:rFonts w:ascii="Arial" w:hAnsi="Arial" w:cs="Arial"/>
          <w:color w:val="000000" w:themeColor="text1"/>
          <w:sz w:val="22"/>
          <w:szCs w:val="22"/>
        </w:rPr>
      </w:pPr>
      <w:r w:rsidRPr="002C39F2">
        <w:rPr>
          <w:rFonts w:ascii="Arial" w:hAnsi="Arial" w:cs="Arial"/>
          <w:color w:val="000000" w:themeColor="text1"/>
          <w:sz w:val="22"/>
          <w:szCs w:val="22"/>
        </w:rPr>
        <w:t>Familial PLCA shows autosomal dominant inheritance,</w:t>
      </w:r>
      <w:r w:rsidRPr="002C39F2">
        <w:rPr>
          <w:rFonts w:ascii="Arial" w:hAnsi="Arial" w:cs="Arial"/>
          <w:color w:val="000000" w:themeColor="text1"/>
          <w:sz w:val="22"/>
          <w:szCs w:val="22"/>
          <w:vertAlign w:val="superscript"/>
        </w:rPr>
        <w:t xml:space="preserve"> </w:t>
      </w:r>
      <w:r w:rsidRPr="002C39F2">
        <w:rPr>
          <w:rFonts w:ascii="Arial" w:hAnsi="Arial" w:cs="Arial"/>
          <w:color w:val="000000" w:themeColor="text1"/>
          <w:sz w:val="22"/>
          <w:szCs w:val="22"/>
        </w:rPr>
        <w:t>but there is clinical and genetic heterogeneity and variable</w:t>
      </w:r>
      <w:r w:rsidRPr="002C39F2">
        <w:rPr>
          <w:rFonts w:ascii="Arial" w:hAnsi="Arial" w:cs="Arial"/>
          <w:color w:val="000000" w:themeColor="text1"/>
          <w:sz w:val="22"/>
          <w:szCs w:val="22"/>
          <w:vertAlign w:val="superscript"/>
        </w:rPr>
        <w:t xml:space="preserve"> </w:t>
      </w:r>
      <w:r w:rsidRPr="002C39F2">
        <w:rPr>
          <w:rFonts w:ascii="Arial" w:hAnsi="Arial" w:cs="Arial"/>
          <w:color w:val="000000" w:themeColor="text1"/>
          <w:sz w:val="22"/>
          <w:szCs w:val="22"/>
        </w:rPr>
        <w:t>clinical penetrance (4).</w:t>
      </w:r>
    </w:p>
    <w:p w14:paraId="65B78DA3" w14:textId="77777777" w:rsidR="00C62B8F" w:rsidRPr="002C39F2" w:rsidRDefault="00C62B8F" w:rsidP="00C62B8F">
      <w:pPr>
        <w:spacing w:line="276" w:lineRule="auto"/>
        <w:rPr>
          <w:rFonts w:ascii="Arial" w:hAnsi="Arial" w:cs="Arial"/>
          <w:color w:val="000000" w:themeColor="text1"/>
          <w:sz w:val="22"/>
          <w:szCs w:val="22"/>
        </w:rPr>
      </w:pPr>
    </w:p>
    <w:p w14:paraId="4DC18812" w14:textId="77777777" w:rsidR="00C62B8F" w:rsidRPr="002C39F2" w:rsidRDefault="00C62B8F" w:rsidP="00C62B8F">
      <w:pPr>
        <w:autoSpaceDE w:val="0"/>
        <w:autoSpaceDN w:val="0"/>
        <w:adjustRightInd w:val="0"/>
        <w:spacing w:line="276" w:lineRule="auto"/>
        <w:rPr>
          <w:rFonts w:ascii="Arial" w:hAnsi="Arial" w:cs="Arial"/>
          <w:color w:val="000000" w:themeColor="text1"/>
          <w:sz w:val="22"/>
          <w:szCs w:val="22"/>
        </w:rPr>
      </w:pPr>
      <w:r w:rsidRPr="002C39F2">
        <w:rPr>
          <w:rFonts w:ascii="Arial" w:hAnsi="Arial" w:cs="Arial"/>
          <w:color w:val="000000" w:themeColor="text1"/>
          <w:sz w:val="22"/>
          <w:szCs w:val="22"/>
        </w:rPr>
        <w:t xml:space="preserve">Management of PLCA is challenging. In this case, patient was treated with potent topical steroid with no significant improvement. Other options include: </w:t>
      </w:r>
      <w:proofErr w:type="spellStart"/>
      <w:r w:rsidRPr="002C39F2">
        <w:rPr>
          <w:rFonts w:ascii="Arial" w:hAnsi="Arial" w:cs="Arial"/>
          <w:color w:val="000000" w:themeColor="text1"/>
          <w:sz w:val="22"/>
          <w:szCs w:val="22"/>
        </w:rPr>
        <w:t>Calcipotriol</w:t>
      </w:r>
      <w:proofErr w:type="spellEnd"/>
      <w:r w:rsidRPr="002C39F2">
        <w:rPr>
          <w:rFonts w:ascii="Arial" w:hAnsi="Arial" w:cs="Arial"/>
          <w:color w:val="000000" w:themeColor="text1"/>
          <w:sz w:val="22"/>
          <w:szCs w:val="22"/>
        </w:rPr>
        <w:t xml:space="preserve">, Phototherapy, DMSO (dimethyl sulfoxide), </w:t>
      </w:r>
      <w:proofErr w:type="spellStart"/>
      <w:r w:rsidRPr="002C39F2">
        <w:rPr>
          <w:rFonts w:ascii="Arial" w:hAnsi="Arial" w:cs="Arial"/>
          <w:color w:val="000000" w:themeColor="text1"/>
          <w:sz w:val="22"/>
          <w:szCs w:val="22"/>
        </w:rPr>
        <w:t>Etretinate</w:t>
      </w:r>
      <w:proofErr w:type="spellEnd"/>
      <w:r w:rsidRPr="002C39F2">
        <w:rPr>
          <w:rFonts w:ascii="Arial" w:hAnsi="Arial" w:cs="Arial"/>
          <w:color w:val="000000" w:themeColor="text1"/>
          <w:sz w:val="22"/>
          <w:szCs w:val="22"/>
        </w:rPr>
        <w:t xml:space="preserve">, </w:t>
      </w:r>
      <w:proofErr w:type="spellStart"/>
      <w:r w:rsidRPr="002C39F2">
        <w:rPr>
          <w:rFonts w:ascii="Arial" w:hAnsi="Arial" w:cs="Arial"/>
          <w:color w:val="000000" w:themeColor="text1"/>
          <w:sz w:val="22"/>
          <w:szCs w:val="22"/>
        </w:rPr>
        <w:t>Acitretin</w:t>
      </w:r>
      <w:proofErr w:type="spellEnd"/>
      <w:r w:rsidRPr="002C39F2">
        <w:rPr>
          <w:rFonts w:ascii="Arial" w:hAnsi="Arial" w:cs="Arial"/>
          <w:color w:val="000000" w:themeColor="text1"/>
          <w:sz w:val="22"/>
          <w:szCs w:val="22"/>
        </w:rPr>
        <w:t xml:space="preserve">, Cyclophosphamide, </w:t>
      </w:r>
      <w:proofErr w:type="spellStart"/>
      <w:r w:rsidRPr="002C39F2">
        <w:rPr>
          <w:rFonts w:ascii="Arial" w:hAnsi="Arial" w:cs="Arial"/>
          <w:color w:val="000000" w:themeColor="text1"/>
          <w:sz w:val="22"/>
          <w:szCs w:val="22"/>
        </w:rPr>
        <w:t>Ciclosporin</w:t>
      </w:r>
      <w:proofErr w:type="spellEnd"/>
      <w:r w:rsidRPr="002C39F2">
        <w:rPr>
          <w:rFonts w:ascii="Arial" w:hAnsi="Arial" w:cs="Arial"/>
          <w:color w:val="000000" w:themeColor="text1"/>
          <w:sz w:val="22"/>
          <w:szCs w:val="22"/>
        </w:rPr>
        <w:t>, Cryotherapy, Dermabrasion, CO2 laser and Surgical measures.</w:t>
      </w:r>
    </w:p>
    <w:p w14:paraId="148DFCEC" w14:textId="77777777" w:rsidR="00C62B8F" w:rsidRPr="00061D9F" w:rsidRDefault="00C62B8F" w:rsidP="00C62B8F">
      <w:pPr>
        <w:spacing w:line="276" w:lineRule="auto"/>
        <w:rPr>
          <w:rFonts w:ascii="Arial" w:hAnsi="Arial" w:cs="Arial"/>
          <w:sz w:val="22"/>
          <w:szCs w:val="22"/>
        </w:rPr>
      </w:pPr>
    </w:p>
    <w:p w14:paraId="1CB63A24" w14:textId="4A302BFE" w:rsidR="00C62B8F" w:rsidRPr="00061D9F" w:rsidRDefault="00C62B8F" w:rsidP="00C62B8F">
      <w:pPr>
        <w:spacing w:line="276" w:lineRule="auto"/>
        <w:rPr>
          <w:rFonts w:ascii="Arial" w:hAnsi="Arial" w:cs="Arial"/>
          <w:sz w:val="22"/>
          <w:szCs w:val="22"/>
        </w:rPr>
      </w:pPr>
      <w:r w:rsidRPr="00061D9F">
        <w:rPr>
          <w:rFonts w:ascii="Arial" w:hAnsi="Arial" w:cs="Arial"/>
          <w:sz w:val="22"/>
          <w:szCs w:val="22"/>
        </w:rPr>
        <w:t>REFERENCES:</w:t>
      </w:r>
    </w:p>
    <w:p w14:paraId="15E14754" w14:textId="77777777" w:rsidR="00C62B8F" w:rsidRPr="00E94853" w:rsidRDefault="00C62B8F" w:rsidP="00C62B8F">
      <w:pPr>
        <w:pStyle w:val="Heading3"/>
        <w:spacing w:line="276" w:lineRule="auto"/>
        <w:rPr>
          <w:rFonts w:ascii="Arial" w:hAnsi="Arial" w:cs="Arial"/>
          <w:b w:val="0"/>
          <w:color w:val="000000" w:themeColor="text1"/>
          <w:sz w:val="20"/>
          <w:szCs w:val="20"/>
        </w:rPr>
      </w:pPr>
      <w:r w:rsidRPr="00E94853">
        <w:rPr>
          <w:rStyle w:val="personname"/>
          <w:rFonts w:ascii="Arial" w:hAnsi="Arial" w:cs="Arial"/>
          <w:b w:val="0"/>
          <w:color w:val="000000" w:themeColor="text1"/>
          <w:sz w:val="20"/>
          <w:szCs w:val="20"/>
        </w:rPr>
        <w:t xml:space="preserve">1. </w:t>
      </w:r>
      <w:proofErr w:type="spellStart"/>
      <w:r w:rsidRPr="00E94853">
        <w:rPr>
          <w:rFonts w:ascii="Arial" w:hAnsi="Arial" w:cs="Arial"/>
          <w:b w:val="0"/>
          <w:color w:val="000000" w:themeColor="text1"/>
          <w:sz w:val="20"/>
          <w:szCs w:val="20"/>
        </w:rPr>
        <w:t>Mun</w:t>
      </w:r>
      <w:proofErr w:type="spellEnd"/>
      <w:r w:rsidRPr="00E94853">
        <w:rPr>
          <w:rFonts w:ascii="Arial" w:hAnsi="Arial" w:cs="Arial"/>
          <w:b w:val="0"/>
          <w:color w:val="000000" w:themeColor="text1"/>
          <w:sz w:val="20"/>
          <w:szCs w:val="20"/>
        </w:rPr>
        <w:t xml:space="preserve"> KS,</w:t>
      </w:r>
      <w:r w:rsidRPr="00E94853">
        <w:rPr>
          <w:rStyle w:val="apple-converted-space"/>
          <w:rFonts w:ascii="Arial" w:hAnsi="Arial" w:cs="Arial"/>
          <w:b w:val="0"/>
          <w:color w:val="000000" w:themeColor="text1"/>
          <w:sz w:val="20"/>
          <w:szCs w:val="20"/>
        </w:rPr>
        <w:t> </w:t>
      </w:r>
      <w:proofErr w:type="spellStart"/>
      <w:r w:rsidRPr="00E94853">
        <w:rPr>
          <w:rFonts w:ascii="Arial" w:hAnsi="Arial" w:cs="Arial"/>
          <w:b w:val="0"/>
          <w:color w:val="000000" w:themeColor="text1"/>
          <w:sz w:val="20"/>
          <w:szCs w:val="20"/>
        </w:rPr>
        <w:t>Pailoor</w:t>
      </w:r>
      <w:proofErr w:type="spellEnd"/>
      <w:r w:rsidRPr="00E94853">
        <w:rPr>
          <w:rFonts w:ascii="Arial" w:hAnsi="Arial" w:cs="Arial"/>
          <w:b w:val="0"/>
          <w:color w:val="000000" w:themeColor="text1"/>
          <w:sz w:val="20"/>
          <w:szCs w:val="20"/>
        </w:rPr>
        <w:t xml:space="preserve"> J,</w:t>
      </w:r>
      <w:r w:rsidRPr="00E94853">
        <w:rPr>
          <w:rStyle w:val="apple-converted-space"/>
          <w:rFonts w:ascii="Arial" w:hAnsi="Arial" w:cs="Arial"/>
          <w:b w:val="0"/>
          <w:color w:val="000000" w:themeColor="text1"/>
          <w:sz w:val="20"/>
          <w:szCs w:val="20"/>
        </w:rPr>
        <w:t> </w:t>
      </w:r>
      <w:r w:rsidRPr="00E94853">
        <w:rPr>
          <w:rFonts w:ascii="Arial" w:hAnsi="Arial" w:cs="Arial"/>
          <w:b w:val="0"/>
          <w:color w:val="000000" w:themeColor="text1"/>
          <w:sz w:val="20"/>
          <w:szCs w:val="20"/>
        </w:rPr>
        <w:t xml:space="preserve">Reddy SC. Primary localised deep cutaneous amyloidosis of the eyelid. </w:t>
      </w:r>
      <w:hyperlink r:id="rId4" w:tooltip="The Malaysian journal of pathology." w:history="1">
        <w:r w:rsidRPr="00E94853">
          <w:rPr>
            <w:rStyle w:val="Hyperlink"/>
            <w:rFonts w:ascii="Arial" w:hAnsi="Arial" w:cs="Arial"/>
            <w:b w:val="0"/>
            <w:color w:val="000000" w:themeColor="text1"/>
            <w:sz w:val="20"/>
            <w:szCs w:val="20"/>
            <w:u w:val="none"/>
          </w:rPr>
          <w:t xml:space="preserve">Malays J </w:t>
        </w:r>
        <w:proofErr w:type="spellStart"/>
        <w:r w:rsidRPr="00E94853">
          <w:rPr>
            <w:rStyle w:val="Hyperlink"/>
            <w:rFonts w:ascii="Arial" w:hAnsi="Arial" w:cs="Arial"/>
            <w:b w:val="0"/>
            <w:color w:val="000000" w:themeColor="text1"/>
            <w:sz w:val="20"/>
            <w:szCs w:val="20"/>
            <w:u w:val="none"/>
          </w:rPr>
          <w:t>Pathol</w:t>
        </w:r>
        <w:proofErr w:type="spellEnd"/>
        <w:r w:rsidRPr="00E94853">
          <w:rPr>
            <w:rStyle w:val="Hyperlink"/>
            <w:rFonts w:ascii="Arial" w:hAnsi="Arial" w:cs="Arial"/>
            <w:b w:val="0"/>
            <w:color w:val="000000" w:themeColor="text1"/>
            <w:sz w:val="20"/>
            <w:szCs w:val="20"/>
            <w:u w:val="none"/>
          </w:rPr>
          <w:t>.</w:t>
        </w:r>
      </w:hyperlink>
      <w:r w:rsidRPr="00E94853">
        <w:rPr>
          <w:rStyle w:val="apple-converted-space"/>
          <w:rFonts w:ascii="Arial" w:hAnsi="Arial" w:cs="Arial"/>
          <w:b w:val="0"/>
          <w:color w:val="000000" w:themeColor="text1"/>
          <w:sz w:val="20"/>
          <w:szCs w:val="20"/>
        </w:rPr>
        <w:t> </w:t>
      </w:r>
      <w:r w:rsidRPr="00E94853">
        <w:rPr>
          <w:rFonts w:ascii="Arial" w:hAnsi="Arial" w:cs="Arial"/>
          <w:b w:val="0"/>
          <w:color w:val="000000" w:themeColor="text1"/>
          <w:sz w:val="20"/>
          <w:szCs w:val="20"/>
        </w:rPr>
        <w:t>2005; 27: 113-5.</w:t>
      </w:r>
    </w:p>
    <w:p w14:paraId="7E7A2998" w14:textId="77777777" w:rsidR="00C62B8F" w:rsidRPr="00E94853" w:rsidRDefault="00C62B8F" w:rsidP="00C62B8F">
      <w:pPr>
        <w:autoSpaceDE w:val="0"/>
        <w:autoSpaceDN w:val="0"/>
        <w:adjustRightInd w:val="0"/>
        <w:spacing w:line="276" w:lineRule="auto"/>
        <w:rPr>
          <w:rFonts w:ascii="Arial" w:hAnsi="Arial" w:cs="Arial"/>
          <w:color w:val="000000" w:themeColor="text1"/>
          <w:sz w:val="20"/>
          <w:szCs w:val="20"/>
        </w:rPr>
      </w:pPr>
      <w:r w:rsidRPr="00E94853">
        <w:rPr>
          <w:rFonts w:ascii="Arial" w:hAnsi="Arial" w:cs="Arial"/>
          <w:color w:val="000000" w:themeColor="text1"/>
          <w:sz w:val="20"/>
          <w:szCs w:val="20"/>
        </w:rPr>
        <w:t xml:space="preserve">2. </w:t>
      </w:r>
      <w:proofErr w:type="spellStart"/>
      <w:r w:rsidRPr="00E94853">
        <w:rPr>
          <w:rFonts w:ascii="Arial" w:hAnsi="Arial" w:cs="Arial"/>
          <w:color w:val="000000" w:themeColor="text1"/>
          <w:sz w:val="20"/>
          <w:szCs w:val="20"/>
        </w:rPr>
        <w:t>Shimauchi</w:t>
      </w:r>
      <w:proofErr w:type="spellEnd"/>
      <w:r w:rsidRPr="00E94853">
        <w:rPr>
          <w:rFonts w:ascii="Arial" w:hAnsi="Arial" w:cs="Arial"/>
          <w:color w:val="000000" w:themeColor="text1"/>
          <w:sz w:val="20"/>
          <w:szCs w:val="20"/>
        </w:rPr>
        <w:t xml:space="preserve"> T, Shin JH, </w:t>
      </w:r>
      <w:proofErr w:type="spellStart"/>
      <w:r w:rsidRPr="00E94853">
        <w:rPr>
          <w:rFonts w:ascii="Arial" w:hAnsi="Arial" w:cs="Arial"/>
          <w:color w:val="000000" w:themeColor="text1"/>
          <w:sz w:val="20"/>
          <w:szCs w:val="20"/>
        </w:rPr>
        <w:t>Tokura</w:t>
      </w:r>
      <w:proofErr w:type="spellEnd"/>
      <w:r w:rsidRPr="00E94853">
        <w:rPr>
          <w:rFonts w:ascii="Arial" w:hAnsi="Arial" w:cs="Arial"/>
          <w:color w:val="000000" w:themeColor="text1"/>
          <w:sz w:val="20"/>
          <w:szCs w:val="20"/>
        </w:rPr>
        <w:t xml:space="preserve"> Y. Primary cutaneous amyloidosis of the auricular concha: case report and review of published work. J Dermatol. 2006; 33: 128-31.</w:t>
      </w:r>
    </w:p>
    <w:p w14:paraId="2F9AA262" w14:textId="77777777" w:rsidR="00C62B8F" w:rsidRPr="00E94853" w:rsidRDefault="00C62B8F" w:rsidP="00C62B8F">
      <w:pPr>
        <w:pStyle w:val="Heading3"/>
        <w:spacing w:before="0" w:beforeAutospacing="0" w:after="0" w:afterAutospacing="0" w:line="276" w:lineRule="auto"/>
        <w:rPr>
          <w:rFonts w:ascii="Arial" w:hAnsi="Arial" w:cs="Arial"/>
          <w:b w:val="0"/>
          <w:color w:val="000000" w:themeColor="text1"/>
          <w:sz w:val="20"/>
          <w:szCs w:val="20"/>
        </w:rPr>
      </w:pPr>
    </w:p>
    <w:p w14:paraId="5A544E4F" w14:textId="77777777" w:rsidR="00C62B8F" w:rsidRPr="00E94853" w:rsidRDefault="00C62B8F" w:rsidP="00C62B8F">
      <w:pPr>
        <w:pStyle w:val="Heading3"/>
        <w:spacing w:before="0" w:beforeAutospacing="0" w:after="0" w:afterAutospacing="0" w:line="276" w:lineRule="auto"/>
        <w:rPr>
          <w:rFonts w:ascii="Arial" w:hAnsi="Arial" w:cs="Arial"/>
          <w:b w:val="0"/>
          <w:color w:val="000000" w:themeColor="text1"/>
          <w:sz w:val="20"/>
          <w:szCs w:val="20"/>
          <w:lang w:val="en"/>
        </w:rPr>
      </w:pPr>
      <w:r w:rsidRPr="00E94853">
        <w:rPr>
          <w:rFonts w:ascii="Arial" w:hAnsi="Arial" w:cs="Arial"/>
          <w:b w:val="0"/>
          <w:color w:val="000000" w:themeColor="text1"/>
          <w:sz w:val="20"/>
          <w:szCs w:val="20"/>
          <w:lang w:val="en"/>
        </w:rPr>
        <w:t xml:space="preserve">3. </w:t>
      </w:r>
      <w:proofErr w:type="spellStart"/>
      <w:r w:rsidRPr="00E94853">
        <w:rPr>
          <w:rFonts w:ascii="Arial" w:hAnsi="Arial" w:cs="Arial"/>
          <w:b w:val="0"/>
          <w:color w:val="000000" w:themeColor="text1"/>
          <w:sz w:val="20"/>
          <w:szCs w:val="20"/>
        </w:rPr>
        <w:t>Dahdah</w:t>
      </w:r>
      <w:proofErr w:type="spellEnd"/>
      <w:r w:rsidRPr="00E94853">
        <w:rPr>
          <w:rFonts w:ascii="Arial" w:hAnsi="Arial" w:cs="Arial"/>
          <w:b w:val="0"/>
          <w:color w:val="000000" w:themeColor="text1"/>
          <w:sz w:val="20"/>
          <w:szCs w:val="20"/>
        </w:rPr>
        <w:t xml:space="preserve"> MJ,</w:t>
      </w:r>
      <w:r w:rsidRPr="00E94853">
        <w:rPr>
          <w:rStyle w:val="apple-converted-space"/>
          <w:rFonts w:ascii="Arial" w:hAnsi="Arial" w:cs="Arial"/>
          <w:b w:val="0"/>
          <w:color w:val="000000" w:themeColor="text1"/>
          <w:sz w:val="20"/>
          <w:szCs w:val="20"/>
        </w:rPr>
        <w:t> </w:t>
      </w:r>
      <w:proofErr w:type="spellStart"/>
      <w:r w:rsidRPr="00E94853">
        <w:rPr>
          <w:rFonts w:ascii="Arial" w:hAnsi="Arial" w:cs="Arial"/>
          <w:b w:val="0"/>
          <w:color w:val="000000" w:themeColor="text1"/>
          <w:sz w:val="20"/>
          <w:szCs w:val="20"/>
        </w:rPr>
        <w:t>Kurban</w:t>
      </w:r>
      <w:proofErr w:type="spellEnd"/>
      <w:r w:rsidRPr="00E94853">
        <w:rPr>
          <w:rFonts w:ascii="Arial" w:hAnsi="Arial" w:cs="Arial"/>
          <w:b w:val="0"/>
          <w:color w:val="000000" w:themeColor="text1"/>
          <w:sz w:val="20"/>
          <w:szCs w:val="20"/>
        </w:rPr>
        <w:t xml:space="preserve"> M,</w:t>
      </w:r>
      <w:r w:rsidRPr="00E94853">
        <w:rPr>
          <w:rStyle w:val="apple-converted-space"/>
          <w:rFonts w:ascii="Arial" w:hAnsi="Arial" w:cs="Arial"/>
          <w:b w:val="0"/>
          <w:color w:val="000000" w:themeColor="text1"/>
          <w:sz w:val="20"/>
          <w:szCs w:val="20"/>
        </w:rPr>
        <w:t> </w:t>
      </w:r>
      <w:proofErr w:type="spellStart"/>
      <w:r w:rsidRPr="00E94853">
        <w:rPr>
          <w:rFonts w:ascii="Arial" w:hAnsi="Arial" w:cs="Arial"/>
          <w:b w:val="0"/>
          <w:color w:val="000000" w:themeColor="text1"/>
          <w:sz w:val="20"/>
          <w:szCs w:val="20"/>
        </w:rPr>
        <w:t>Kibbi</w:t>
      </w:r>
      <w:proofErr w:type="spellEnd"/>
      <w:r w:rsidRPr="00E94853">
        <w:rPr>
          <w:rFonts w:ascii="Arial" w:hAnsi="Arial" w:cs="Arial"/>
          <w:b w:val="0"/>
          <w:color w:val="000000" w:themeColor="text1"/>
          <w:sz w:val="20"/>
          <w:szCs w:val="20"/>
        </w:rPr>
        <w:t xml:space="preserve"> AG,</w:t>
      </w:r>
      <w:r w:rsidRPr="00E94853">
        <w:rPr>
          <w:rStyle w:val="apple-converted-space"/>
          <w:rFonts w:ascii="Arial" w:hAnsi="Arial" w:cs="Arial"/>
          <w:b w:val="0"/>
          <w:color w:val="000000" w:themeColor="text1"/>
          <w:sz w:val="20"/>
          <w:szCs w:val="20"/>
        </w:rPr>
        <w:t> </w:t>
      </w:r>
      <w:r w:rsidRPr="00E94853">
        <w:rPr>
          <w:rFonts w:ascii="Arial" w:hAnsi="Arial" w:cs="Arial"/>
          <w:b w:val="0"/>
          <w:color w:val="000000" w:themeColor="text1"/>
          <w:sz w:val="20"/>
          <w:szCs w:val="20"/>
        </w:rPr>
        <w:t xml:space="preserve">Ghosn S. Primary localized cutaneous amyloidosis: a sign of immune dysregulation? </w:t>
      </w:r>
      <w:proofErr w:type="spellStart"/>
      <w:r w:rsidRPr="00E94853">
        <w:rPr>
          <w:rFonts w:ascii="Arial" w:hAnsi="Arial" w:cs="Arial"/>
          <w:b w:val="0"/>
          <w:color w:val="000000" w:themeColor="text1"/>
          <w:sz w:val="20"/>
          <w:szCs w:val="20"/>
        </w:rPr>
        <w:t>Int</w:t>
      </w:r>
      <w:proofErr w:type="spellEnd"/>
      <w:r w:rsidRPr="00E94853">
        <w:rPr>
          <w:rFonts w:ascii="Arial" w:hAnsi="Arial" w:cs="Arial"/>
          <w:b w:val="0"/>
          <w:color w:val="000000" w:themeColor="text1"/>
          <w:sz w:val="20"/>
          <w:szCs w:val="20"/>
        </w:rPr>
        <w:t xml:space="preserve"> J </w:t>
      </w:r>
      <w:proofErr w:type="spellStart"/>
      <w:r w:rsidRPr="00E94853">
        <w:rPr>
          <w:rFonts w:ascii="Arial" w:hAnsi="Arial" w:cs="Arial"/>
          <w:b w:val="0"/>
          <w:color w:val="000000" w:themeColor="text1"/>
          <w:sz w:val="20"/>
          <w:szCs w:val="20"/>
        </w:rPr>
        <w:t>Dermatol</w:t>
      </w:r>
      <w:proofErr w:type="spellEnd"/>
      <w:r w:rsidRPr="00E94853">
        <w:rPr>
          <w:rFonts w:ascii="Arial" w:hAnsi="Arial" w:cs="Arial"/>
          <w:b w:val="0"/>
          <w:color w:val="000000" w:themeColor="text1"/>
          <w:sz w:val="20"/>
          <w:szCs w:val="20"/>
        </w:rPr>
        <w:t>.</w:t>
      </w:r>
      <w:r w:rsidRPr="00E94853">
        <w:rPr>
          <w:rStyle w:val="apple-converted-space"/>
          <w:rFonts w:ascii="Arial" w:hAnsi="Arial" w:cs="Arial"/>
          <w:b w:val="0"/>
          <w:color w:val="000000" w:themeColor="text1"/>
          <w:sz w:val="20"/>
          <w:szCs w:val="20"/>
        </w:rPr>
        <w:t> </w:t>
      </w:r>
      <w:r w:rsidRPr="00E94853">
        <w:rPr>
          <w:rFonts w:ascii="Arial" w:hAnsi="Arial" w:cs="Arial"/>
          <w:b w:val="0"/>
          <w:color w:val="000000" w:themeColor="text1"/>
          <w:sz w:val="20"/>
          <w:szCs w:val="20"/>
        </w:rPr>
        <w:t>2009; 48: 419-21.</w:t>
      </w:r>
    </w:p>
    <w:p w14:paraId="6F4D1C31" w14:textId="77777777" w:rsidR="00C62B8F" w:rsidRPr="00E94853" w:rsidRDefault="00C62B8F" w:rsidP="00C62B8F">
      <w:pPr>
        <w:pStyle w:val="Heading3"/>
        <w:spacing w:before="0" w:beforeAutospacing="0" w:after="0" w:afterAutospacing="0" w:line="276" w:lineRule="auto"/>
        <w:rPr>
          <w:rFonts w:ascii="Arial" w:hAnsi="Arial" w:cs="Arial"/>
          <w:b w:val="0"/>
          <w:color w:val="000000" w:themeColor="text1"/>
          <w:sz w:val="20"/>
          <w:szCs w:val="20"/>
        </w:rPr>
      </w:pPr>
    </w:p>
    <w:p w14:paraId="7C3F686D" w14:textId="77777777" w:rsidR="00C62B8F" w:rsidRPr="00E94853" w:rsidRDefault="00C62B8F" w:rsidP="00C62B8F">
      <w:pPr>
        <w:pStyle w:val="Heading3"/>
        <w:spacing w:before="0" w:beforeAutospacing="0" w:after="0" w:afterAutospacing="0" w:line="276" w:lineRule="auto"/>
        <w:rPr>
          <w:rFonts w:ascii="Arial" w:hAnsi="Arial" w:cs="Arial"/>
          <w:b w:val="0"/>
          <w:color w:val="000000" w:themeColor="text1"/>
          <w:sz w:val="20"/>
          <w:szCs w:val="20"/>
        </w:rPr>
      </w:pPr>
      <w:r w:rsidRPr="00E94853">
        <w:rPr>
          <w:rFonts w:ascii="Arial" w:hAnsi="Arial" w:cs="Arial"/>
          <w:b w:val="0"/>
          <w:color w:val="000000" w:themeColor="text1"/>
          <w:sz w:val="20"/>
          <w:szCs w:val="20"/>
        </w:rPr>
        <w:t>4. Sakuma TH, Hans-</w:t>
      </w:r>
      <w:proofErr w:type="spellStart"/>
      <w:r w:rsidRPr="00E94853">
        <w:rPr>
          <w:rFonts w:ascii="Arial" w:hAnsi="Arial" w:cs="Arial"/>
          <w:b w:val="0"/>
          <w:color w:val="000000" w:themeColor="text1"/>
          <w:sz w:val="20"/>
          <w:szCs w:val="20"/>
        </w:rPr>
        <w:t>Filho</w:t>
      </w:r>
      <w:proofErr w:type="spellEnd"/>
      <w:r w:rsidRPr="00E94853">
        <w:rPr>
          <w:rFonts w:ascii="Arial" w:hAnsi="Arial" w:cs="Arial"/>
          <w:b w:val="0"/>
          <w:color w:val="000000" w:themeColor="text1"/>
          <w:sz w:val="20"/>
          <w:szCs w:val="20"/>
        </w:rPr>
        <w:t xml:space="preserve"> G, </w:t>
      </w:r>
      <w:proofErr w:type="spellStart"/>
      <w:r w:rsidRPr="00E94853">
        <w:rPr>
          <w:rFonts w:ascii="Arial" w:hAnsi="Arial" w:cs="Arial"/>
          <w:b w:val="0"/>
          <w:color w:val="000000" w:themeColor="text1"/>
          <w:sz w:val="20"/>
          <w:szCs w:val="20"/>
        </w:rPr>
        <w:t>Arita</w:t>
      </w:r>
      <w:proofErr w:type="spellEnd"/>
      <w:r w:rsidRPr="00E94853">
        <w:rPr>
          <w:rFonts w:ascii="Arial" w:hAnsi="Arial" w:cs="Arial"/>
          <w:b w:val="0"/>
          <w:color w:val="000000" w:themeColor="text1"/>
          <w:sz w:val="20"/>
          <w:szCs w:val="20"/>
        </w:rPr>
        <w:t xml:space="preserve"> K, </w:t>
      </w:r>
      <w:proofErr w:type="spellStart"/>
      <w:r w:rsidRPr="00E94853">
        <w:rPr>
          <w:rFonts w:ascii="Arial" w:hAnsi="Arial" w:cs="Arial"/>
          <w:b w:val="0"/>
          <w:color w:val="000000" w:themeColor="text1"/>
          <w:sz w:val="20"/>
          <w:szCs w:val="20"/>
        </w:rPr>
        <w:t>Odashiro</w:t>
      </w:r>
      <w:proofErr w:type="spellEnd"/>
      <w:r w:rsidRPr="00E94853">
        <w:rPr>
          <w:rFonts w:ascii="Arial" w:hAnsi="Arial" w:cs="Arial"/>
          <w:b w:val="0"/>
          <w:color w:val="000000" w:themeColor="text1"/>
          <w:sz w:val="20"/>
          <w:szCs w:val="20"/>
        </w:rPr>
        <w:t xml:space="preserve"> M, </w:t>
      </w:r>
      <w:proofErr w:type="spellStart"/>
      <w:r w:rsidRPr="00E94853">
        <w:rPr>
          <w:rFonts w:ascii="Arial" w:hAnsi="Arial" w:cs="Arial"/>
          <w:b w:val="0"/>
          <w:color w:val="000000" w:themeColor="text1"/>
          <w:sz w:val="20"/>
          <w:szCs w:val="20"/>
        </w:rPr>
        <w:t>Odashiro</w:t>
      </w:r>
      <w:proofErr w:type="spellEnd"/>
      <w:r w:rsidRPr="00E94853">
        <w:rPr>
          <w:rFonts w:ascii="Arial" w:hAnsi="Arial" w:cs="Arial"/>
          <w:b w:val="0"/>
          <w:color w:val="000000" w:themeColor="text1"/>
          <w:sz w:val="20"/>
          <w:szCs w:val="20"/>
        </w:rPr>
        <w:t xml:space="preserve"> DN, Hans NR, Hans-</w:t>
      </w:r>
      <w:proofErr w:type="spellStart"/>
      <w:r w:rsidRPr="00E94853">
        <w:rPr>
          <w:rFonts w:ascii="Arial" w:hAnsi="Arial" w:cs="Arial"/>
          <w:b w:val="0"/>
          <w:color w:val="000000" w:themeColor="text1"/>
          <w:sz w:val="20"/>
          <w:szCs w:val="20"/>
        </w:rPr>
        <w:t>Neto</w:t>
      </w:r>
      <w:proofErr w:type="spellEnd"/>
      <w:r w:rsidRPr="00E94853">
        <w:rPr>
          <w:rFonts w:ascii="Arial" w:hAnsi="Arial" w:cs="Arial"/>
          <w:b w:val="0"/>
          <w:color w:val="000000" w:themeColor="text1"/>
          <w:sz w:val="20"/>
          <w:szCs w:val="20"/>
        </w:rPr>
        <w:t xml:space="preserve"> G, McGrath JA. Familial primary localized cutaneous amyloidosis in Brazil. Arch Dermatol. 2009; 145: 695-9.</w:t>
      </w:r>
    </w:p>
    <w:p w14:paraId="27961BB4" w14:textId="77777777" w:rsidR="00093640" w:rsidRDefault="00093640"/>
    <w:p w14:paraId="2B027DA7" w14:textId="7C763F1D" w:rsidR="000D016F" w:rsidRDefault="000D016F">
      <w:pPr>
        <w:rPr>
          <w:rFonts w:ascii="Arial" w:hAnsi="Arial" w:cs="Arial"/>
          <w:iCs/>
          <w:color w:val="333333"/>
          <w:sz w:val="22"/>
          <w:szCs w:val="22"/>
        </w:rPr>
      </w:pPr>
    </w:p>
    <w:p w14:paraId="5F602B67" w14:textId="076DEF9B" w:rsidR="00061D9F" w:rsidRDefault="00061D9F">
      <w:pPr>
        <w:rPr>
          <w:rFonts w:ascii="Arial" w:hAnsi="Arial" w:cs="Arial"/>
          <w:color w:val="333333"/>
          <w:sz w:val="21"/>
          <w:szCs w:val="21"/>
        </w:rPr>
      </w:pPr>
    </w:p>
    <w:p w14:paraId="1F8DB0FA" w14:textId="19CB2BFB" w:rsidR="00061D9F" w:rsidRDefault="00061D9F">
      <w:pPr>
        <w:rPr>
          <w:rFonts w:ascii="Arial" w:hAnsi="Arial" w:cs="Arial"/>
          <w:color w:val="333333"/>
          <w:sz w:val="21"/>
          <w:szCs w:val="21"/>
        </w:rPr>
      </w:pPr>
    </w:p>
    <w:p w14:paraId="226308C3" w14:textId="77777777" w:rsidR="00061D9F" w:rsidRDefault="00061D9F">
      <w:pPr>
        <w:rPr>
          <w:rFonts w:ascii="Arial" w:hAnsi="Arial" w:cs="Arial"/>
          <w:color w:val="333333"/>
          <w:sz w:val="21"/>
          <w:szCs w:val="21"/>
        </w:rPr>
      </w:pPr>
    </w:p>
    <w:p w14:paraId="199B29BD" w14:textId="77777777" w:rsidR="000D016F" w:rsidRDefault="000D016F" w:rsidP="000D016F">
      <w:pPr>
        <w:pStyle w:val="Heading3"/>
        <w:spacing w:before="0" w:beforeAutospacing="0" w:after="0" w:afterAutospacing="0" w:line="276" w:lineRule="auto"/>
        <w:rPr>
          <w:rFonts w:ascii="Arial" w:hAnsi="Arial" w:cs="Arial"/>
          <w:b w:val="0"/>
          <w:color w:val="000000" w:themeColor="text1"/>
          <w:sz w:val="20"/>
          <w:szCs w:val="20"/>
        </w:rPr>
      </w:pPr>
    </w:p>
    <w:p w14:paraId="709D08BB" w14:textId="77777777" w:rsidR="000D016F" w:rsidRPr="00E2281D" w:rsidRDefault="000D016F" w:rsidP="000D016F">
      <w:pPr>
        <w:autoSpaceDE w:val="0"/>
        <w:autoSpaceDN w:val="0"/>
        <w:adjustRightInd w:val="0"/>
        <w:rPr>
          <w:rFonts w:ascii="Arial" w:hAnsi="Arial" w:cs="Arial"/>
          <w:bCs/>
          <w:color w:val="000000"/>
        </w:rPr>
      </w:pPr>
      <w:r>
        <w:rPr>
          <w:rFonts w:ascii="Arial" w:hAnsi="Arial" w:cs="Arial"/>
          <w:bCs/>
          <w:color w:val="000000"/>
        </w:rPr>
        <w:t>Table 1: Classification of Amyloidosis</w:t>
      </w:r>
    </w:p>
    <w:p w14:paraId="5364DC4D" w14:textId="77777777" w:rsidR="000D016F" w:rsidRPr="00BC0A76" w:rsidRDefault="000D016F" w:rsidP="000D016F">
      <w:pPr>
        <w:autoSpaceDE w:val="0"/>
        <w:autoSpaceDN w:val="0"/>
        <w:adjustRightInd w:val="0"/>
        <w:rPr>
          <w:rStyle w:val="Emphasis"/>
          <w:rFonts w:ascii="Arial" w:hAnsi="Arial" w:cs="Arial"/>
          <w:b w:val="0"/>
          <w:color w:val="00000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3184"/>
        <w:gridCol w:w="3685"/>
      </w:tblGrid>
      <w:tr w:rsidR="000D016F" w:rsidRPr="002763B2" w14:paraId="2706C30C" w14:textId="77777777" w:rsidTr="002763B2">
        <w:tc>
          <w:tcPr>
            <w:tcW w:w="2765" w:type="dxa"/>
            <w:shd w:val="clear" w:color="auto" w:fill="auto"/>
          </w:tcPr>
          <w:p w14:paraId="5F64653D" w14:textId="77777777" w:rsidR="000D016F" w:rsidRPr="002763B2" w:rsidRDefault="000D016F" w:rsidP="00397A03">
            <w:pPr>
              <w:autoSpaceDE w:val="0"/>
              <w:autoSpaceDN w:val="0"/>
              <w:adjustRightInd w:val="0"/>
              <w:rPr>
                <w:rFonts w:ascii="Arial" w:hAnsi="Arial" w:cs="Arial"/>
                <w:b/>
                <w:bCs/>
                <w:color w:val="000000"/>
                <w:sz w:val="20"/>
                <w:szCs w:val="20"/>
              </w:rPr>
            </w:pPr>
            <w:r w:rsidRPr="002763B2">
              <w:rPr>
                <w:rFonts w:ascii="Arial" w:hAnsi="Arial" w:cs="Arial"/>
                <w:b/>
                <w:bCs/>
                <w:color w:val="000000"/>
                <w:sz w:val="20"/>
                <w:szCs w:val="20"/>
              </w:rPr>
              <w:t>Clinical type of Amyloidosis</w:t>
            </w:r>
          </w:p>
          <w:p w14:paraId="298CCB40" w14:textId="77777777" w:rsidR="000D016F" w:rsidRPr="002763B2" w:rsidRDefault="000D016F" w:rsidP="00397A03">
            <w:pPr>
              <w:autoSpaceDE w:val="0"/>
              <w:autoSpaceDN w:val="0"/>
              <w:adjustRightInd w:val="0"/>
              <w:rPr>
                <w:rStyle w:val="Emphasis"/>
                <w:rFonts w:ascii="Arial" w:hAnsi="Arial" w:cs="Arial"/>
                <w:color w:val="000000"/>
                <w:sz w:val="20"/>
                <w:szCs w:val="20"/>
              </w:rPr>
            </w:pPr>
          </w:p>
        </w:tc>
        <w:tc>
          <w:tcPr>
            <w:tcW w:w="3184" w:type="dxa"/>
            <w:shd w:val="clear" w:color="auto" w:fill="auto"/>
          </w:tcPr>
          <w:p w14:paraId="195E13EB" w14:textId="77777777" w:rsidR="000D016F" w:rsidRPr="002763B2" w:rsidRDefault="000D016F" w:rsidP="00397A03">
            <w:pPr>
              <w:autoSpaceDE w:val="0"/>
              <w:autoSpaceDN w:val="0"/>
              <w:adjustRightInd w:val="0"/>
              <w:rPr>
                <w:rStyle w:val="Emphasis"/>
                <w:rFonts w:ascii="Arial" w:hAnsi="Arial" w:cs="Arial"/>
                <w:color w:val="000000"/>
                <w:sz w:val="20"/>
                <w:szCs w:val="20"/>
              </w:rPr>
            </w:pPr>
            <w:r w:rsidRPr="002763B2">
              <w:rPr>
                <w:rFonts w:ascii="Arial" w:hAnsi="Arial" w:cs="Arial"/>
                <w:b/>
                <w:bCs/>
                <w:color w:val="000000"/>
                <w:sz w:val="20"/>
                <w:szCs w:val="20"/>
              </w:rPr>
              <w:t>Amyloid fibril protein</w:t>
            </w:r>
          </w:p>
        </w:tc>
        <w:tc>
          <w:tcPr>
            <w:tcW w:w="3685" w:type="dxa"/>
            <w:shd w:val="clear" w:color="auto" w:fill="auto"/>
          </w:tcPr>
          <w:p w14:paraId="492EE4A7" w14:textId="77777777" w:rsidR="000D016F" w:rsidRPr="002763B2" w:rsidRDefault="000D016F" w:rsidP="00397A03">
            <w:pPr>
              <w:autoSpaceDE w:val="0"/>
              <w:autoSpaceDN w:val="0"/>
              <w:adjustRightInd w:val="0"/>
              <w:rPr>
                <w:rStyle w:val="Emphasis"/>
                <w:rFonts w:ascii="Arial" w:hAnsi="Arial" w:cs="Arial"/>
                <w:color w:val="000000"/>
                <w:sz w:val="20"/>
                <w:szCs w:val="20"/>
              </w:rPr>
            </w:pPr>
            <w:r w:rsidRPr="002763B2">
              <w:rPr>
                <w:rFonts w:ascii="Arial" w:hAnsi="Arial" w:cs="Arial"/>
                <w:b/>
                <w:bCs/>
                <w:color w:val="000000"/>
                <w:sz w:val="20"/>
                <w:szCs w:val="20"/>
              </w:rPr>
              <w:t>Precursor substance</w:t>
            </w:r>
          </w:p>
        </w:tc>
      </w:tr>
      <w:tr w:rsidR="000D016F" w:rsidRPr="002763B2" w14:paraId="1367E6E9" w14:textId="77777777" w:rsidTr="002763B2">
        <w:tc>
          <w:tcPr>
            <w:tcW w:w="2765" w:type="dxa"/>
            <w:shd w:val="clear" w:color="auto" w:fill="auto"/>
          </w:tcPr>
          <w:p w14:paraId="497557CF" w14:textId="77777777" w:rsidR="000D016F" w:rsidRPr="002763B2" w:rsidRDefault="000D016F" w:rsidP="00397A03">
            <w:pPr>
              <w:autoSpaceDE w:val="0"/>
              <w:autoSpaceDN w:val="0"/>
              <w:adjustRightInd w:val="0"/>
              <w:rPr>
                <w:rFonts w:ascii="Arial" w:hAnsi="Arial" w:cs="Arial"/>
                <w:bCs/>
                <w:color w:val="000000"/>
                <w:sz w:val="20"/>
                <w:szCs w:val="20"/>
              </w:rPr>
            </w:pPr>
            <w:r w:rsidRPr="002763B2">
              <w:rPr>
                <w:rFonts w:ascii="Arial" w:hAnsi="Arial" w:cs="Arial"/>
                <w:bCs/>
                <w:color w:val="000000"/>
                <w:sz w:val="20"/>
                <w:szCs w:val="20"/>
              </w:rPr>
              <w:t xml:space="preserve">Primary </w:t>
            </w:r>
          </w:p>
          <w:p w14:paraId="35B67FBC" w14:textId="07AC7F5F" w:rsidR="000D016F" w:rsidRPr="002763B2" w:rsidRDefault="000D016F" w:rsidP="00397A03">
            <w:pPr>
              <w:autoSpaceDE w:val="0"/>
              <w:autoSpaceDN w:val="0"/>
              <w:adjustRightInd w:val="0"/>
              <w:rPr>
                <w:rFonts w:ascii="Arial" w:hAnsi="Arial" w:cs="Arial"/>
                <w:bCs/>
                <w:color w:val="000000"/>
                <w:sz w:val="20"/>
                <w:szCs w:val="20"/>
              </w:rPr>
            </w:pPr>
            <w:r w:rsidRPr="002763B2">
              <w:rPr>
                <w:rFonts w:ascii="Arial" w:hAnsi="Arial" w:cs="Arial"/>
                <w:bCs/>
                <w:color w:val="000000"/>
                <w:sz w:val="20"/>
                <w:szCs w:val="20"/>
              </w:rPr>
              <w:t>(immuno</w:t>
            </w:r>
            <w:r w:rsidR="00E94853" w:rsidRPr="002763B2">
              <w:rPr>
                <w:rFonts w:ascii="Arial" w:hAnsi="Arial" w:cs="Arial"/>
                <w:bCs/>
                <w:color w:val="000000"/>
                <w:sz w:val="20"/>
                <w:szCs w:val="20"/>
              </w:rPr>
              <w:t>-</w:t>
            </w:r>
            <w:proofErr w:type="spellStart"/>
            <w:r w:rsidRPr="002763B2">
              <w:rPr>
                <w:rFonts w:ascii="Arial" w:hAnsi="Arial" w:cs="Arial"/>
                <w:bCs/>
                <w:color w:val="000000"/>
                <w:sz w:val="20"/>
                <w:szCs w:val="20"/>
              </w:rPr>
              <w:t>cytodyscrasia</w:t>
            </w:r>
            <w:proofErr w:type="spellEnd"/>
            <w:r w:rsidRPr="002763B2">
              <w:rPr>
                <w:rFonts w:ascii="Arial" w:hAnsi="Arial" w:cs="Arial"/>
                <w:bCs/>
                <w:color w:val="000000"/>
                <w:sz w:val="20"/>
                <w:szCs w:val="20"/>
              </w:rPr>
              <w:t>)</w:t>
            </w:r>
          </w:p>
          <w:p w14:paraId="354F197A" w14:textId="77777777" w:rsidR="000D016F" w:rsidRPr="002763B2" w:rsidRDefault="000D016F" w:rsidP="00397A03">
            <w:pPr>
              <w:autoSpaceDE w:val="0"/>
              <w:autoSpaceDN w:val="0"/>
              <w:adjustRightInd w:val="0"/>
              <w:rPr>
                <w:rStyle w:val="Emphasis"/>
                <w:rFonts w:ascii="Arial" w:hAnsi="Arial" w:cs="Arial"/>
                <w:color w:val="000000"/>
                <w:sz w:val="20"/>
                <w:szCs w:val="20"/>
              </w:rPr>
            </w:pPr>
          </w:p>
        </w:tc>
        <w:tc>
          <w:tcPr>
            <w:tcW w:w="3184" w:type="dxa"/>
            <w:shd w:val="clear" w:color="auto" w:fill="auto"/>
          </w:tcPr>
          <w:p w14:paraId="3691306B" w14:textId="77777777" w:rsidR="000D016F" w:rsidRPr="002763B2" w:rsidRDefault="000D016F" w:rsidP="00397A03">
            <w:pPr>
              <w:autoSpaceDE w:val="0"/>
              <w:autoSpaceDN w:val="0"/>
              <w:adjustRightInd w:val="0"/>
              <w:rPr>
                <w:rStyle w:val="Emphasis"/>
                <w:rFonts w:ascii="Arial" w:hAnsi="Arial" w:cs="Arial"/>
                <w:color w:val="000000"/>
                <w:sz w:val="20"/>
                <w:szCs w:val="20"/>
              </w:rPr>
            </w:pPr>
            <w:r w:rsidRPr="002763B2">
              <w:rPr>
                <w:rFonts w:ascii="Arial" w:hAnsi="Arial" w:cs="Arial"/>
                <w:bCs/>
                <w:color w:val="000000"/>
                <w:sz w:val="20"/>
                <w:szCs w:val="20"/>
              </w:rPr>
              <w:t>AL (amyloid L chain)</w:t>
            </w:r>
          </w:p>
        </w:tc>
        <w:tc>
          <w:tcPr>
            <w:tcW w:w="3685" w:type="dxa"/>
            <w:shd w:val="clear" w:color="auto" w:fill="auto"/>
          </w:tcPr>
          <w:p w14:paraId="7AFB3D34" w14:textId="77777777" w:rsidR="000D016F" w:rsidRPr="002763B2" w:rsidRDefault="000D016F" w:rsidP="00397A03">
            <w:pPr>
              <w:autoSpaceDE w:val="0"/>
              <w:autoSpaceDN w:val="0"/>
              <w:adjustRightInd w:val="0"/>
              <w:rPr>
                <w:rStyle w:val="Emphasis"/>
                <w:rFonts w:ascii="Arial" w:hAnsi="Arial" w:cs="Arial"/>
                <w:color w:val="000000"/>
                <w:sz w:val="20"/>
                <w:szCs w:val="20"/>
              </w:rPr>
            </w:pPr>
            <w:r w:rsidRPr="002763B2">
              <w:rPr>
                <w:rFonts w:ascii="Arial" w:hAnsi="Arial" w:cs="Arial"/>
                <w:bCs/>
                <w:color w:val="000000"/>
                <w:sz w:val="20"/>
                <w:szCs w:val="20"/>
              </w:rPr>
              <w:t>Monoclonal immunoglobulin light chain</w:t>
            </w:r>
          </w:p>
        </w:tc>
      </w:tr>
      <w:tr w:rsidR="000D016F" w:rsidRPr="002763B2" w14:paraId="6C7D670E" w14:textId="77777777" w:rsidTr="002763B2">
        <w:tc>
          <w:tcPr>
            <w:tcW w:w="2765" w:type="dxa"/>
            <w:shd w:val="clear" w:color="auto" w:fill="auto"/>
          </w:tcPr>
          <w:p w14:paraId="1412253B" w14:textId="315E89B5" w:rsidR="000D016F" w:rsidRPr="002763B2" w:rsidRDefault="000D016F" w:rsidP="00397A03">
            <w:pPr>
              <w:autoSpaceDE w:val="0"/>
              <w:autoSpaceDN w:val="0"/>
              <w:adjustRightInd w:val="0"/>
              <w:rPr>
                <w:rFonts w:ascii="Arial" w:hAnsi="Arial" w:cs="Arial"/>
                <w:bCs/>
                <w:color w:val="000000"/>
                <w:sz w:val="20"/>
                <w:szCs w:val="20"/>
              </w:rPr>
            </w:pPr>
            <w:r w:rsidRPr="002763B2">
              <w:rPr>
                <w:rFonts w:ascii="Arial" w:hAnsi="Arial" w:cs="Arial"/>
                <w:bCs/>
                <w:color w:val="000000"/>
                <w:sz w:val="20"/>
                <w:szCs w:val="20"/>
              </w:rPr>
              <w:t xml:space="preserve">Secondary (chronic active disease) </w:t>
            </w:r>
            <w:r w:rsidR="00E94853" w:rsidRPr="002763B2">
              <w:rPr>
                <w:rFonts w:ascii="Arial" w:hAnsi="Arial" w:cs="Arial"/>
                <w:bCs/>
                <w:color w:val="000000"/>
                <w:sz w:val="20"/>
                <w:szCs w:val="20"/>
              </w:rPr>
              <w:t>e.g.</w:t>
            </w:r>
            <w:r w:rsidRPr="002763B2">
              <w:rPr>
                <w:rFonts w:ascii="Arial" w:hAnsi="Arial" w:cs="Arial"/>
                <w:bCs/>
                <w:color w:val="000000"/>
                <w:sz w:val="20"/>
                <w:szCs w:val="20"/>
              </w:rPr>
              <w:t xml:space="preserve"> Rheumatoid </w:t>
            </w:r>
            <w:r w:rsidR="00E94853" w:rsidRPr="002763B2">
              <w:rPr>
                <w:rFonts w:ascii="Arial" w:hAnsi="Arial" w:cs="Arial"/>
                <w:bCs/>
                <w:color w:val="000000"/>
                <w:sz w:val="20"/>
                <w:szCs w:val="20"/>
              </w:rPr>
              <w:t>arthritis,</w:t>
            </w:r>
            <w:r w:rsidRPr="002763B2">
              <w:rPr>
                <w:rFonts w:ascii="Arial" w:hAnsi="Arial" w:cs="Arial"/>
                <w:bCs/>
                <w:color w:val="000000"/>
                <w:sz w:val="20"/>
                <w:szCs w:val="20"/>
              </w:rPr>
              <w:t xml:space="preserve"> osteomyelitis</w:t>
            </w:r>
          </w:p>
          <w:p w14:paraId="172AFED6" w14:textId="77777777" w:rsidR="000D016F" w:rsidRPr="002763B2" w:rsidRDefault="000D016F" w:rsidP="00397A03">
            <w:pPr>
              <w:autoSpaceDE w:val="0"/>
              <w:autoSpaceDN w:val="0"/>
              <w:adjustRightInd w:val="0"/>
              <w:rPr>
                <w:rStyle w:val="Emphasis"/>
                <w:rFonts w:ascii="Arial" w:hAnsi="Arial" w:cs="Arial"/>
                <w:color w:val="000000"/>
                <w:sz w:val="20"/>
                <w:szCs w:val="20"/>
              </w:rPr>
            </w:pPr>
          </w:p>
        </w:tc>
        <w:tc>
          <w:tcPr>
            <w:tcW w:w="3184" w:type="dxa"/>
            <w:shd w:val="clear" w:color="auto" w:fill="auto"/>
          </w:tcPr>
          <w:p w14:paraId="677F0645" w14:textId="77777777" w:rsidR="000D016F" w:rsidRPr="002763B2" w:rsidRDefault="000D016F" w:rsidP="00397A03">
            <w:pPr>
              <w:autoSpaceDE w:val="0"/>
              <w:autoSpaceDN w:val="0"/>
              <w:adjustRightInd w:val="0"/>
              <w:rPr>
                <w:rStyle w:val="Emphasis"/>
                <w:rFonts w:ascii="Arial" w:hAnsi="Arial" w:cs="Arial"/>
                <w:color w:val="000000"/>
                <w:sz w:val="20"/>
                <w:szCs w:val="20"/>
              </w:rPr>
            </w:pPr>
            <w:r w:rsidRPr="002763B2">
              <w:rPr>
                <w:rFonts w:ascii="Arial" w:hAnsi="Arial" w:cs="Arial"/>
                <w:bCs/>
                <w:color w:val="000000"/>
                <w:sz w:val="20"/>
                <w:szCs w:val="20"/>
              </w:rPr>
              <w:t>AA (amyloid A)</w:t>
            </w:r>
          </w:p>
        </w:tc>
        <w:tc>
          <w:tcPr>
            <w:tcW w:w="3685" w:type="dxa"/>
            <w:shd w:val="clear" w:color="auto" w:fill="auto"/>
          </w:tcPr>
          <w:p w14:paraId="0F207D8E" w14:textId="77777777" w:rsidR="000D016F" w:rsidRPr="002763B2" w:rsidRDefault="000D016F" w:rsidP="00397A03">
            <w:pPr>
              <w:autoSpaceDE w:val="0"/>
              <w:autoSpaceDN w:val="0"/>
              <w:adjustRightInd w:val="0"/>
              <w:rPr>
                <w:rStyle w:val="Emphasis"/>
                <w:rFonts w:ascii="Arial" w:hAnsi="Arial" w:cs="Arial"/>
                <w:color w:val="000000"/>
                <w:sz w:val="20"/>
                <w:szCs w:val="20"/>
              </w:rPr>
            </w:pPr>
            <w:r w:rsidRPr="002763B2">
              <w:rPr>
                <w:rFonts w:ascii="Arial" w:hAnsi="Arial" w:cs="Arial"/>
                <w:bCs/>
                <w:color w:val="000000"/>
                <w:sz w:val="20"/>
                <w:szCs w:val="20"/>
              </w:rPr>
              <w:t>Serum amyloid A protein (SAA)</w:t>
            </w:r>
          </w:p>
        </w:tc>
      </w:tr>
      <w:tr w:rsidR="000D016F" w:rsidRPr="002763B2" w14:paraId="4C606C7B" w14:textId="77777777" w:rsidTr="002763B2">
        <w:tc>
          <w:tcPr>
            <w:tcW w:w="2765" w:type="dxa"/>
            <w:shd w:val="clear" w:color="auto" w:fill="auto"/>
          </w:tcPr>
          <w:p w14:paraId="21E78650" w14:textId="77777777" w:rsidR="000D016F" w:rsidRPr="002763B2" w:rsidRDefault="000D016F" w:rsidP="00397A03">
            <w:pPr>
              <w:autoSpaceDE w:val="0"/>
              <w:autoSpaceDN w:val="0"/>
              <w:adjustRightInd w:val="0"/>
              <w:rPr>
                <w:rFonts w:ascii="Arial" w:hAnsi="Arial" w:cs="Arial"/>
                <w:bCs/>
                <w:color w:val="000000"/>
                <w:sz w:val="20"/>
                <w:szCs w:val="20"/>
              </w:rPr>
            </w:pPr>
            <w:r w:rsidRPr="002763B2">
              <w:rPr>
                <w:rFonts w:ascii="Arial" w:hAnsi="Arial" w:cs="Arial"/>
                <w:bCs/>
                <w:color w:val="000000"/>
                <w:sz w:val="20"/>
                <w:szCs w:val="20"/>
              </w:rPr>
              <w:t>Haemodialysis associated</w:t>
            </w:r>
          </w:p>
          <w:p w14:paraId="4A187936" w14:textId="77777777" w:rsidR="000D016F" w:rsidRPr="002763B2" w:rsidRDefault="000D016F" w:rsidP="00397A03">
            <w:pPr>
              <w:autoSpaceDE w:val="0"/>
              <w:autoSpaceDN w:val="0"/>
              <w:adjustRightInd w:val="0"/>
              <w:rPr>
                <w:rStyle w:val="Emphasis"/>
                <w:rFonts w:ascii="Arial" w:hAnsi="Arial" w:cs="Arial"/>
                <w:color w:val="000000"/>
                <w:sz w:val="20"/>
                <w:szCs w:val="20"/>
              </w:rPr>
            </w:pPr>
          </w:p>
        </w:tc>
        <w:tc>
          <w:tcPr>
            <w:tcW w:w="3184" w:type="dxa"/>
            <w:shd w:val="clear" w:color="auto" w:fill="auto"/>
          </w:tcPr>
          <w:p w14:paraId="27EEF7C4" w14:textId="4FADA4E4" w:rsidR="000D016F" w:rsidRPr="002763B2" w:rsidRDefault="000D016F" w:rsidP="00397A03">
            <w:pPr>
              <w:autoSpaceDE w:val="0"/>
              <w:autoSpaceDN w:val="0"/>
              <w:adjustRightInd w:val="0"/>
              <w:rPr>
                <w:rStyle w:val="Emphasis"/>
                <w:rFonts w:ascii="Arial" w:hAnsi="Arial" w:cs="Arial"/>
                <w:color w:val="000000"/>
                <w:sz w:val="20"/>
                <w:szCs w:val="20"/>
              </w:rPr>
            </w:pPr>
            <w:r w:rsidRPr="002763B2">
              <w:rPr>
                <w:rFonts w:ascii="Arial" w:hAnsi="Arial" w:cs="Arial"/>
                <w:bCs/>
                <w:color w:val="000000"/>
                <w:sz w:val="20"/>
                <w:szCs w:val="20"/>
              </w:rPr>
              <w:t>β2 –</w:t>
            </w:r>
            <w:proofErr w:type="spellStart"/>
            <w:r w:rsidRPr="002763B2">
              <w:rPr>
                <w:rFonts w:ascii="Arial" w:hAnsi="Arial" w:cs="Arial"/>
                <w:bCs/>
                <w:color w:val="000000"/>
                <w:sz w:val="20"/>
                <w:szCs w:val="20"/>
              </w:rPr>
              <w:t>macro</w:t>
            </w:r>
            <w:r w:rsidR="009447AC">
              <w:rPr>
                <w:rFonts w:ascii="Arial" w:hAnsi="Arial" w:cs="Arial"/>
                <w:bCs/>
                <w:color w:val="000000"/>
                <w:sz w:val="20"/>
                <w:szCs w:val="20"/>
              </w:rPr>
              <w:t>Comparison</w:t>
            </w:r>
            <w:proofErr w:type="spellEnd"/>
            <w:r w:rsidR="009447AC">
              <w:rPr>
                <w:rFonts w:ascii="Arial" w:hAnsi="Arial" w:cs="Arial"/>
                <w:bCs/>
                <w:color w:val="000000"/>
                <w:sz w:val="20"/>
                <w:szCs w:val="20"/>
              </w:rPr>
              <w:t xml:space="preserve"> of </w:t>
            </w:r>
            <w:r w:rsidRPr="002763B2">
              <w:rPr>
                <w:rFonts w:ascii="Arial" w:hAnsi="Arial" w:cs="Arial"/>
                <w:bCs/>
                <w:color w:val="000000"/>
                <w:sz w:val="20"/>
                <w:szCs w:val="20"/>
              </w:rPr>
              <w:t>globulin</w:t>
            </w:r>
          </w:p>
        </w:tc>
        <w:tc>
          <w:tcPr>
            <w:tcW w:w="3685" w:type="dxa"/>
            <w:shd w:val="clear" w:color="auto" w:fill="auto"/>
          </w:tcPr>
          <w:p w14:paraId="15A3EA4E" w14:textId="77777777" w:rsidR="000D016F" w:rsidRPr="002763B2" w:rsidRDefault="000D016F" w:rsidP="00397A03">
            <w:pPr>
              <w:autoSpaceDE w:val="0"/>
              <w:autoSpaceDN w:val="0"/>
              <w:adjustRightInd w:val="0"/>
              <w:rPr>
                <w:rStyle w:val="Emphasis"/>
                <w:rFonts w:ascii="Arial" w:hAnsi="Arial" w:cs="Arial"/>
                <w:color w:val="000000"/>
                <w:sz w:val="20"/>
                <w:szCs w:val="20"/>
              </w:rPr>
            </w:pPr>
          </w:p>
        </w:tc>
      </w:tr>
      <w:tr w:rsidR="000D016F" w:rsidRPr="002763B2" w14:paraId="33E8FD5A" w14:textId="77777777" w:rsidTr="002763B2">
        <w:trPr>
          <w:trHeight w:val="688"/>
        </w:trPr>
        <w:tc>
          <w:tcPr>
            <w:tcW w:w="2765" w:type="dxa"/>
            <w:shd w:val="clear" w:color="auto" w:fill="auto"/>
          </w:tcPr>
          <w:p w14:paraId="2A2E82BA" w14:textId="0524F00C" w:rsidR="000D016F" w:rsidRPr="002763B2" w:rsidRDefault="000D016F" w:rsidP="00397A03">
            <w:pPr>
              <w:autoSpaceDE w:val="0"/>
              <w:autoSpaceDN w:val="0"/>
              <w:adjustRightInd w:val="0"/>
              <w:rPr>
                <w:rStyle w:val="Emphasis"/>
                <w:rFonts w:ascii="Arial" w:hAnsi="Arial" w:cs="Arial"/>
                <w:color w:val="000000"/>
                <w:sz w:val="20"/>
                <w:szCs w:val="20"/>
              </w:rPr>
            </w:pPr>
            <w:proofErr w:type="spellStart"/>
            <w:r w:rsidRPr="002763B2">
              <w:rPr>
                <w:rFonts w:ascii="Arial" w:hAnsi="Arial" w:cs="Arial"/>
                <w:bCs/>
                <w:color w:val="000000"/>
                <w:sz w:val="20"/>
                <w:szCs w:val="20"/>
              </w:rPr>
              <w:t>Heredo</w:t>
            </w:r>
            <w:proofErr w:type="spellEnd"/>
            <w:r w:rsidR="00E94853" w:rsidRPr="002763B2">
              <w:rPr>
                <w:rFonts w:ascii="Arial" w:hAnsi="Arial" w:cs="Arial"/>
                <w:bCs/>
                <w:color w:val="000000"/>
                <w:sz w:val="20"/>
                <w:szCs w:val="20"/>
              </w:rPr>
              <w:t>-</w:t>
            </w:r>
            <w:r w:rsidRPr="002763B2">
              <w:rPr>
                <w:rFonts w:ascii="Arial" w:hAnsi="Arial" w:cs="Arial"/>
                <w:bCs/>
                <w:color w:val="000000"/>
                <w:sz w:val="20"/>
                <w:szCs w:val="20"/>
              </w:rPr>
              <w:t>familial (commonly affected kidney), rare</w:t>
            </w:r>
          </w:p>
        </w:tc>
        <w:tc>
          <w:tcPr>
            <w:tcW w:w="3184" w:type="dxa"/>
            <w:shd w:val="clear" w:color="auto" w:fill="auto"/>
          </w:tcPr>
          <w:p w14:paraId="020F09A4" w14:textId="579445C8" w:rsidR="002763B2" w:rsidRPr="009F4371" w:rsidRDefault="002763B2" w:rsidP="002763B2">
            <w:pPr>
              <w:rPr>
                <w:sz w:val="20"/>
                <w:szCs w:val="20"/>
              </w:rPr>
            </w:pPr>
            <w:r w:rsidRPr="009F4371">
              <w:rPr>
                <w:rFonts w:ascii="Arial" w:hAnsi="Arial" w:cs="Arial"/>
                <w:color w:val="000000"/>
                <w:sz w:val="20"/>
                <w:szCs w:val="20"/>
                <w:shd w:val="clear" w:color="auto" w:fill="FFFFFF"/>
              </w:rPr>
              <w:t>various e.g. Transthyretin (TTR)</w:t>
            </w:r>
          </w:p>
          <w:p w14:paraId="5559DD74" w14:textId="77777777" w:rsidR="000D016F" w:rsidRPr="009F4371" w:rsidRDefault="000D016F" w:rsidP="00397A03">
            <w:pPr>
              <w:autoSpaceDE w:val="0"/>
              <w:autoSpaceDN w:val="0"/>
              <w:adjustRightInd w:val="0"/>
              <w:rPr>
                <w:rStyle w:val="Emphasis"/>
                <w:rFonts w:ascii="Arial" w:hAnsi="Arial" w:cs="Arial"/>
                <w:color w:val="000000"/>
                <w:sz w:val="20"/>
                <w:szCs w:val="20"/>
              </w:rPr>
            </w:pPr>
          </w:p>
        </w:tc>
        <w:tc>
          <w:tcPr>
            <w:tcW w:w="3685" w:type="dxa"/>
            <w:shd w:val="clear" w:color="auto" w:fill="auto"/>
          </w:tcPr>
          <w:p w14:paraId="73919AB5" w14:textId="77777777" w:rsidR="000D016F" w:rsidRPr="002763B2" w:rsidRDefault="000D016F" w:rsidP="00397A03">
            <w:pPr>
              <w:autoSpaceDE w:val="0"/>
              <w:autoSpaceDN w:val="0"/>
              <w:adjustRightInd w:val="0"/>
              <w:rPr>
                <w:rStyle w:val="Emphasis"/>
                <w:rFonts w:ascii="Arial" w:hAnsi="Arial" w:cs="Arial"/>
                <w:color w:val="000000"/>
                <w:sz w:val="20"/>
                <w:szCs w:val="20"/>
              </w:rPr>
            </w:pPr>
          </w:p>
        </w:tc>
      </w:tr>
    </w:tbl>
    <w:p w14:paraId="633CC74E" w14:textId="77777777" w:rsidR="006C329D" w:rsidRDefault="006C329D"/>
    <w:p w14:paraId="2DB6D5A0" w14:textId="77777777" w:rsidR="00CC75FE" w:rsidRDefault="00CC75FE"/>
    <w:p w14:paraId="54702816" w14:textId="77777777" w:rsidR="00CC75FE" w:rsidRDefault="00CC75FE"/>
    <w:p w14:paraId="7DD22F07" w14:textId="77777777" w:rsidR="006D4A17" w:rsidRDefault="00A3125C">
      <w:r>
        <w:t>Fig 1:</w:t>
      </w:r>
      <w:r w:rsidR="002763B2">
        <w:t xml:space="preserve"> </w:t>
      </w:r>
      <w:r w:rsidR="00C86036">
        <w:t>Erythematous discolouration</w:t>
      </w:r>
    </w:p>
    <w:p w14:paraId="0D63CD19" w14:textId="77777777" w:rsidR="006D4A17" w:rsidRDefault="006D4A17"/>
    <w:p w14:paraId="6DBEC116" w14:textId="036323DF" w:rsidR="00A3125C" w:rsidRDefault="009447AC">
      <w:r>
        <w:t xml:space="preserve"> of right palm, compared to normal left palm</w:t>
      </w:r>
    </w:p>
    <w:p w14:paraId="4A0254D0" w14:textId="77777777" w:rsidR="00CC75FE" w:rsidRDefault="00CC75FE"/>
    <w:p w14:paraId="567C9816" w14:textId="77777777" w:rsidR="00A3125C" w:rsidRDefault="00A3125C">
      <w:r w:rsidRPr="00A3125C">
        <w:rPr>
          <w:noProof/>
          <w:lang w:eastAsia="en-GB"/>
        </w:rPr>
        <w:drawing>
          <wp:inline distT="0" distB="0" distL="0" distR="0" wp14:anchorId="70A29631" wp14:editId="2422080A">
            <wp:extent cx="5400000" cy="357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00" cy="3574800"/>
                    </a:xfrm>
                    <a:prstGeom prst="rect">
                      <a:avLst/>
                    </a:prstGeom>
                    <a:noFill/>
                    <a:ln>
                      <a:noFill/>
                    </a:ln>
                  </pic:spPr>
                </pic:pic>
              </a:graphicData>
            </a:graphic>
          </wp:inline>
        </w:drawing>
      </w:r>
    </w:p>
    <w:p w14:paraId="04E36CBF" w14:textId="77777777" w:rsidR="00A3125C" w:rsidRDefault="00A3125C"/>
    <w:p w14:paraId="23CF8C51" w14:textId="77777777" w:rsidR="00CC75FE" w:rsidRDefault="00CC75FE"/>
    <w:p w14:paraId="4AAE0EF0" w14:textId="77777777" w:rsidR="00061D9F" w:rsidRDefault="00061D9F"/>
    <w:p w14:paraId="4FA0CB49" w14:textId="77777777" w:rsidR="00061D9F" w:rsidRDefault="00061D9F"/>
    <w:p w14:paraId="292A337F" w14:textId="77777777" w:rsidR="00061D9F" w:rsidRDefault="00061D9F"/>
    <w:p w14:paraId="32CBCBFC" w14:textId="77777777" w:rsidR="00061D9F" w:rsidRDefault="00061D9F"/>
    <w:p w14:paraId="57471DB4" w14:textId="37068FBF" w:rsidR="00061D9F" w:rsidRDefault="00061D9F"/>
    <w:p w14:paraId="6C46CA5A" w14:textId="7CE35CAE" w:rsidR="00A3125C" w:rsidRDefault="00CC75FE">
      <w:r>
        <w:lastRenderedPageBreak/>
        <w:t>Fig 2:</w:t>
      </w:r>
      <w:r w:rsidR="00014D30">
        <w:t xml:space="preserve"> </w:t>
      </w:r>
      <w:r w:rsidR="009447AC" w:rsidRPr="009447AC">
        <w:t>Close up of skin changes on right palm</w:t>
      </w:r>
    </w:p>
    <w:p w14:paraId="72CDD11C" w14:textId="77777777" w:rsidR="00A3125C" w:rsidRDefault="00A3125C"/>
    <w:p w14:paraId="5CDC0719" w14:textId="77777777" w:rsidR="00A3125C" w:rsidRDefault="00CC75FE">
      <w:pPr>
        <w:rPr>
          <w:noProof/>
        </w:rPr>
      </w:pPr>
      <w:r w:rsidRPr="00CC75FE">
        <w:rPr>
          <w:noProof/>
          <w:lang w:eastAsia="en-GB"/>
        </w:rPr>
        <w:drawing>
          <wp:inline distT="0" distB="0" distL="0" distR="0" wp14:anchorId="57658770" wp14:editId="6CFC3FA1">
            <wp:extent cx="5400000" cy="378360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
                      <a:extLst>
                        <a:ext uri="{28A0092B-C50C-407E-A947-70E740481C1C}">
                          <a14:useLocalDpi xmlns:a14="http://schemas.microsoft.com/office/drawing/2010/main" val="0"/>
                        </a:ext>
                      </a:extLst>
                    </a:blip>
                    <a:srcRect l="1563" b="4804"/>
                    <a:stretch/>
                  </pic:blipFill>
                  <pic:spPr bwMode="auto">
                    <a:xfrm>
                      <a:off x="0" y="0"/>
                      <a:ext cx="5400000" cy="3783600"/>
                    </a:xfrm>
                    <a:prstGeom prst="rect">
                      <a:avLst/>
                    </a:prstGeom>
                    <a:noFill/>
                    <a:ln>
                      <a:noFill/>
                    </a:ln>
                    <a:extLst>
                      <a:ext uri="{53640926-AAD7-44D8-BBD7-CCE9431645EC}">
                        <a14:shadowObscured xmlns:a14="http://schemas.microsoft.com/office/drawing/2010/main"/>
                      </a:ext>
                    </a:extLst>
                  </pic:spPr>
                </pic:pic>
              </a:graphicData>
            </a:graphic>
          </wp:inline>
        </w:drawing>
      </w:r>
    </w:p>
    <w:p w14:paraId="00092187" w14:textId="646016FC" w:rsidR="00CC75FE" w:rsidRDefault="00CC75FE">
      <w:pPr>
        <w:rPr>
          <w:noProof/>
        </w:rPr>
      </w:pPr>
    </w:p>
    <w:p w14:paraId="555EB3E3" w14:textId="2D27EC59" w:rsidR="009447AC" w:rsidRDefault="009447AC">
      <w:pPr>
        <w:rPr>
          <w:noProof/>
        </w:rPr>
      </w:pPr>
    </w:p>
    <w:p w14:paraId="6FA2E6D9" w14:textId="577F0ED6" w:rsidR="009447AC" w:rsidRDefault="009447AC">
      <w:pPr>
        <w:rPr>
          <w:noProof/>
        </w:rPr>
      </w:pPr>
    </w:p>
    <w:p w14:paraId="40691942" w14:textId="1AFAD9F0" w:rsidR="009447AC" w:rsidRDefault="009447AC">
      <w:pPr>
        <w:rPr>
          <w:noProof/>
        </w:rPr>
      </w:pPr>
    </w:p>
    <w:p w14:paraId="24878150" w14:textId="7D78AB95" w:rsidR="009447AC" w:rsidRDefault="009447AC">
      <w:pPr>
        <w:rPr>
          <w:noProof/>
        </w:rPr>
      </w:pPr>
    </w:p>
    <w:p w14:paraId="4C789A75" w14:textId="1120C2FE" w:rsidR="00CC75FE" w:rsidRDefault="00CC75FE">
      <w:pPr>
        <w:rPr>
          <w:rFonts w:ascii="Arial" w:hAnsi="Arial" w:cs="Arial"/>
          <w:sz w:val="22"/>
        </w:rPr>
      </w:pPr>
      <w:bookmarkStart w:id="0" w:name="_GoBack"/>
      <w:bookmarkEnd w:id="0"/>
      <w:r w:rsidRPr="009447AC">
        <w:rPr>
          <w:rFonts w:ascii="Arial" w:hAnsi="Arial" w:cs="Arial"/>
          <w:b/>
          <w:sz w:val="22"/>
        </w:rPr>
        <w:t>Fig 3:</w:t>
      </w:r>
      <w:r w:rsidR="00014D30" w:rsidRPr="009447AC">
        <w:rPr>
          <w:rFonts w:ascii="Arial" w:hAnsi="Arial" w:cs="Arial"/>
          <w:sz w:val="22"/>
        </w:rPr>
        <w:t xml:space="preserve"> Photomicrograph of skin biopsy, note the thick keratin in </w:t>
      </w:r>
      <w:r w:rsidR="00061D9F" w:rsidRPr="009447AC">
        <w:rPr>
          <w:rFonts w:ascii="Arial" w:hAnsi="Arial" w:cs="Arial"/>
          <w:sz w:val="22"/>
        </w:rPr>
        <w:t>epidermis</w:t>
      </w:r>
      <w:r w:rsidR="00014D30" w:rsidRPr="009447AC">
        <w:rPr>
          <w:rFonts w:ascii="Arial" w:hAnsi="Arial" w:cs="Arial"/>
          <w:sz w:val="22"/>
        </w:rPr>
        <w:t xml:space="preserve"> and fibrinoid material in dermis</w:t>
      </w:r>
      <w:r w:rsidR="00061D9F" w:rsidRPr="009447AC">
        <w:rPr>
          <w:rFonts w:ascii="Arial" w:hAnsi="Arial" w:cs="Arial"/>
          <w:sz w:val="22"/>
        </w:rPr>
        <w:t xml:space="preserve"> assoc</w:t>
      </w:r>
      <w:r w:rsidR="009447AC" w:rsidRPr="009447AC">
        <w:rPr>
          <w:rFonts w:ascii="Arial" w:hAnsi="Arial" w:cs="Arial"/>
          <w:sz w:val="22"/>
        </w:rPr>
        <w:t>iated with small vessel ectasia</w:t>
      </w:r>
    </w:p>
    <w:p w14:paraId="4DCF8F82" w14:textId="77777777" w:rsidR="00061D9F" w:rsidRPr="00061D9F" w:rsidRDefault="00061D9F">
      <w:pPr>
        <w:rPr>
          <w:rFonts w:ascii="Arial" w:hAnsi="Arial" w:cs="Arial"/>
          <w:sz w:val="22"/>
        </w:rPr>
      </w:pPr>
    </w:p>
    <w:p w14:paraId="49CA4AC0" w14:textId="77777777" w:rsidR="00A3125C" w:rsidRDefault="00CC75FE">
      <w:r w:rsidRPr="00CC75FE">
        <w:rPr>
          <w:noProof/>
          <w:lang w:eastAsia="en-GB"/>
        </w:rPr>
        <w:drawing>
          <wp:inline distT="0" distB="0" distL="0" distR="0" wp14:anchorId="2A91A057" wp14:editId="2EC15E52">
            <wp:extent cx="5400000" cy="336240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00" cy="3362400"/>
                    </a:xfrm>
                    <a:prstGeom prst="rect">
                      <a:avLst/>
                    </a:prstGeom>
                    <a:noFill/>
                    <a:ln>
                      <a:noFill/>
                    </a:ln>
                  </pic:spPr>
                </pic:pic>
              </a:graphicData>
            </a:graphic>
          </wp:inline>
        </w:drawing>
      </w:r>
    </w:p>
    <w:sectPr w:rsidR="00A312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8F"/>
    <w:rsid w:val="00014D30"/>
    <w:rsid w:val="00024A8A"/>
    <w:rsid w:val="00061D9F"/>
    <w:rsid w:val="00093640"/>
    <w:rsid w:val="000B5ADA"/>
    <w:rsid w:val="000D016F"/>
    <w:rsid w:val="00137045"/>
    <w:rsid w:val="0024653A"/>
    <w:rsid w:val="00252176"/>
    <w:rsid w:val="002763B2"/>
    <w:rsid w:val="002C39F2"/>
    <w:rsid w:val="00351CF4"/>
    <w:rsid w:val="003E595F"/>
    <w:rsid w:val="0053654C"/>
    <w:rsid w:val="00580E8E"/>
    <w:rsid w:val="00690F28"/>
    <w:rsid w:val="006C329D"/>
    <w:rsid w:val="006D4A17"/>
    <w:rsid w:val="00925DF8"/>
    <w:rsid w:val="009447AC"/>
    <w:rsid w:val="009F4371"/>
    <w:rsid w:val="00A3125C"/>
    <w:rsid w:val="00AA0436"/>
    <w:rsid w:val="00C62B8F"/>
    <w:rsid w:val="00C86036"/>
    <w:rsid w:val="00CC5E7A"/>
    <w:rsid w:val="00CC75FE"/>
    <w:rsid w:val="00DB65FE"/>
    <w:rsid w:val="00E94853"/>
    <w:rsid w:val="00F360F6"/>
    <w:rsid w:val="00F36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5D672"/>
  <w15:chartTrackingRefBased/>
  <w15:docId w15:val="{AA8CEEFA-AC62-4545-897E-BEB57B716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3B2"/>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nhideWhenUsed/>
    <w:qFormat/>
    <w:rsid w:val="00C62B8F"/>
    <w:pPr>
      <w:spacing w:before="100" w:beforeAutospacing="1" w:after="100" w:afterAutospacing="1"/>
      <w:outlineLvl w:val="2"/>
    </w:pPr>
    <w:rPr>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62B8F"/>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C62B8F"/>
    <w:rPr>
      <w:color w:val="0000FF"/>
      <w:u w:val="single"/>
    </w:rPr>
  </w:style>
  <w:style w:type="character" w:styleId="Emphasis">
    <w:name w:val="Emphasis"/>
    <w:qFormat/>
    <w:rsid w:val="00C62B8F"/>
    <w:rPr>
      <w:b/>
      <w:bCs/>
      <w:i w:val="0"/>
      <w:iCs w:val="0"/>
    </w:rPr>
  </w:style>
  <w:style w:type="character" w:customStyle="1" w:styleId="personname">
    <w:name w:val="person_name"/>
    <w:basedOn w:val="DefaultParagraphFont"/>
    <w:rsid w:val="00C62B8F"/>
  </w:style>
  <w:style w:type="character" w:customStyle="1" w:styleId="apple-converted-space">
    <w:name w:val="apple-converted-space"/>
    <w:basedOn w:val="DefaultParagraphFont"/>
    <w:rsid w:val="00C62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829150">
      <w:bodyDiv w:val="1"/>
      <w:marLeft w:val="0"/>
      <w:marRight w:val="0"/>
      <w:marTop w:val="0"/>
      <w:marBottom w:val="0"/>
      <w:divBdr>
        <w:top w:val="none" w:sz="0" w:space="0" w:color="auto"/>
        <w:left w:val="none" w:sz="0" w:space="0" w:color="auto"/>
        <w:bottom w:val="none" w:sz="0" w:space="0" w:color="auto"/>
        <w:right w:val="none" w:sz="0" w:space="0" w:color="auto"/>
      </w:divBdr>
    </w:div>
    <w:div w:id="180299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hyperlink" Target="https://www.ncbi.nlm.nih.gov/pubmed/?term=Malaysian+Journal+of+Pathology%2C+2005%2C+27+(2)%3A113-11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Morteza Moatamedi</dc:creator>
  <cp:keywords/>
  <dc:description/>
  <cp:lastModifiedBy>Morteza Moatamedi</cp:lastModifiedBy>
  <cp:revision>13</cp:revision>
  <dcterms:created xsi:type="dcterms:W3CDTF">2019-03-08T13:44:00Z</dcterms:created>
  <dcterms:modified xsi:type="dcterms:W3CDTF">2019-03-10T22:59:00Z</dcterms:modified>
</cp:coreProperties>
</file>