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AAC" w:rsidRDefault="002E7AAC" w:rsidP="002E7AAC">
      <w:pPr>
        <w:pStyle w:val="Default"/>
      </w:pPr>
    </w:p>
    <w:p w:rsidR="002E7AAC" w:rsidRDefault="002E7AAC" w:rsidP="002E7AAC">
      <w:pPr>
        <w:pStyle w:val="Default"/>
        <w:rPr>
          <w:sz w:val="28"/>
          <w:szCs w:val="28"/>
        </w:rPr>
      </w:pPr>
      <w:r>
        <w:t xml:space="preserve">                                                    </w:t>
      </w:r>
      <w:r>
        <w:rPr>
          <w:b/>
          <w:bCs/>
          <w:sz w:val="28"/>
          <w:szCs w:val="28"/>
        </w:rPr>
        <w:t xml:space="preserve">The Role of </w:t>
      </w:r>
      <w:proofErr w:type="spellStart"/>
      <w:r>
        <w:rPr>
          <w:b/>
          <w:bCs/>
          <w:sz w:val="28"/>
          <w:szCs w:val="28"/>
        </w:rPr>
        <w:t>Latanoprost</w:t>
      </w:r>
      <w:proofErr w:type="spellEnd"/>
      <w:r>
        <w:rPr>
          <w:b/>
          <w:bCs/>
          <w:sz w:val="28"/>
          <w:szCs w:val="28"/>
        </w:rPr>
        <w:t xml:space="preserve"> in Vitiligo </w:t>
      </w:r>
    </w:p>
    <w:p w:rsidR="002E7AAC" w:rsidRDefault="002E7AAC" w:rsidP="002E7AA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Dr. </w:t>
      </w:r>
      <w:proofErr w:type="spellStart"/>
      <w:r>
        <w:rPr>
          <w:sz w:val="28"/>
          <w:szCs w:val="28"/>
        </w:rPr>
        <w:t>Asma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Sajjad</w:t>
      </w:r>
      <w:proofErr w:type="spellEnd"/>
      <w:r>
        <w:rPr>
          <w:sz w:val="28"/>
          <w:szCs w:val="28"/>
        </w:rPr>
        <w:t xml:space="preserve"> </w:t>
      </w:r>
    </w:p>
    <w:p w:rsidR="002E7AAC" w:rsidRDefault="002E7AAC" w:rsidP="002E7AA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Senior Registrar Dermatology </w:t>
      </w:r>
    </w:p>
    <w:p w:rsidR="002E7AAC" w:rsidRDefault="002E7AAC" w:rsidP="002E7AA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DHQ Hospital/Faisalabad medical University </w:t>
      </w:r>
    </w:p>
    <w:p w:rsidR="002E7AAC" w:rsidRDefault="002E7AAC" w:rsidP="002E7AA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2E7AAC" w:rsidRDefault="002E7AAC" w:rsidP="002E7AA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Introduction: </w:t>
      </w:r>
    </w:p>
    <w:p w:rsidR="002E7AAC" w:rsidRDefault="002E7AAC" w:rsidP="002E7AAC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Latanoprost</w:t>
      </w:r>
      <w:proofErr w:type="spellEnd"/>
      <w:r>
        <w:rPr>
          <w:sz w:val="22"/>
          <w:szCs w:val="22"/>
        </w:rPr>
        <w:t xml:space="preserve"> is a prostaglandin F 2alpha analogue used in the treatment of glaucoma, found to induce skin pigmentation in guinea pigs in addition to its known </w:t>
      </w:r>
      <w:proofErr w:type="spellStart"/>
      <w:r>
        <w:rPr>
          <w:sz w:val="22"/>
          <w:szCs w:val="22"/>
        </w:rPr>
        <w:t>perioccular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iridal</w:t>
      </w:r>
      <w:proofErr w:type="spellEnd"/>
      <w:r>
        <w:rPr>
          <w:sz w:val="22"/>
          <w:szCs w:val="22"/>
        </w:rPr>
        <w:t xml:space="preserve"> pigmentation side effects. </w:t>
      </w:r>
    </w:p>
    <w:p w:rsidR="002E7AAC" w:rsidRDefault="002E7AAC" w:rsidP="002E7AA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Objective: </w:t>
      </w:r>
    </w:p>
    <w:p w:rsidR="002E7AAC" w:rsidRDefault="002E7AAC" w:rsidP="002E7A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aim of this study is to compare the efficacy and safety of topical </w:t>
      </w:r>
      <w:proofErr w:type="spellStart"/>
      <w:r>
        <w:rPr>
          <w:sz w:val="22"/>
          <w:szCs w:val="22"/>
        </w:rPr>
        <w:t>Latanoprost</w:t>
      </w:r>
      <w:proofErr w:type="spellEnd"/>
      <w:r>
        <w:rPr>
          <w:sz w:val="22"/>
          <w:szCs w:val="22"/>
        </w:rPr>
        <w:t xml:space="preserve"> as an adjuvant for treatment of vitiligo. </w:t>
      </w:r>
    </w:p>
    <w:p w:rsidR="002E7AAC" w:rsidRDefault="002E7AAC" w:rsidP="002E7AA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Materials and Method</w:t>
      </w:r>
      <w:r>
        <w:rPr>
          <w:sz w:val="22"/>
          <w:szCs w:val="22"/>
        </w:rPr>
        <w:t xml:space="preserve">: </w:t>
      </w:r>
    </w:p>
    <w:p w:rsidR="002E7AAC" w:rsidRDefault="002E7AAC" w:rsidP="002E7A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Ten patients with bilateral symmetrical vitiligo lesions were enrolled. Both sides were treated with the standard conventional treatment (narrowband UVB twice weekly plus topical 0.05% </w:t>
      </w:r>
      <w:proofErr w:type="spellStart"/>
      <w:r>
        <w:rPr>
          <w:sz w:val="22"/>
          <w:szCs w:val="22"/>
        </w:rPr>
        <w:t>clobetasol</w:t>
      </w:r>
      <w:proofErr w:type="spellEnd"/>
      <w:r>
        <w:rPr>
          <w:sz w:val="22"/>
          <w:szCs w:val="22"/>
        </w:rPr>
        <w:t xml:space="preserve"> propionate ointment twice a day for first 3 weeks alternating with topical </w:t>
      </w:r>
      <w:proofErr w:type="spellStart"/>
      <w:r>
        <w:rPr>
          <w:sz w:val="22"/>
          <w:szCs w:val="22"/>
        </w:rPr>
        <w:t>tacrolimus</w:t>
      </w:r>
      <w:proofErr w:type="spellEnd"/>
      <w:r>
        <w:rPr>
          <w:sz w:val="22"/>
          <w:szCs w:val="22"/>
        </w:rPr>
        <w:t xml:space="preserve"> twice a day for next 2 weeks). Right side was additionally treated with topical </w:t>
      </w:r>
      <w:proofErr w:type="spellStart"/>
      <w:r>
        <w:rPr>
          <w:sz w:val="22"/>
          <w:szCs w:val="22"/>
        </w:rPr>
        <w:t>latanoprost</w:t>
      </w:r>
      <w:proofErr w:type="spellEnd"/>
      <w:r>
        <w:rPr>
          <w:sz w:val="22"/>
          <w:szCs w:val="22"/>
        </w:rPr>
        <w:t xml:space="preserve"> twice a day for 12 weeks. Standard digital photographs of both sides were taken at baseline, monthly and at 12 weeks after starting treatment. </w:t>
      </w:r>
    </w:p>
    <w:p w:rsidR="002E7AAC" w:rsidRDefault="002E7AAC" w:rsidP="002E7AA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Improvement of vitiligo was scored objectively by two blinded dermatologists using a quartile grading scale (Grade 0: no improvement, Grade1: 1-25% re-pigmentation, Grade 2: 26-50%, Grade 3: 51-75%, Grade 4: &gt;75% re-pigmentation). The patients were asked to grade their overall satisfaction using a 10-point visual analogue scale (VAS) from 0 (not satisfied at all) to 10 (extremely satisfied). Adverse events and complications were recorded at every follow-up visit. </w:t>
      </w:r>
    </w:p>
    <w:p w:rsidR="002E7AAC" w:rsidRDefault="002E7AAC" w:rsidP="002E7AA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Results:</w:t>
      </w:r>
    </w:p>
    <w:p w:rsidR="002E7AAC" w:rsidRDefault="002E7AAC" w:rsidP="002E7AAC">
      <w:pPr>
        <w:pStyle w:val="Default"/>
      </w:pPr>
      <w:r>
        <w:rPr>
          <w:b/>
          <w:bCs/>
          <w:sz w:val="22"/>
          <w:szCs w:val="22"/>
        </w:rPr>
        <w:t xml:space="preserve"> </w:t>
      </w:r>
      <w:r w:rsidRPr="00431B5C">
        <w:t>The</w:t>
      </w:r>
      <w:r>
        <w:t xml:space="preserve"> study is ongoing but patients, who have completed the initial trial period, shows statistically significant (p&gt;0.5) improvement on the side where latanoprost was also performed.</w:t>
      </w:r>
    </w:p>
    <w:p w:rsidR="002E7AAC" w:rsidRDefault="002E7AAC" w:rsidP="002E7AAC">
      <w:pPr>
        <w:pStyle w:val="Default"/>
        <w:rPr>
          <w:sz w:val="22"/>
          <w:szCs w:val="22"/>
        </w:rPr>
      </w:pPr>
      <w:r w:rsidRPr="002E7AAC">
        <w:rPr>
          <w:b/>
        </w:rPr>
        <w:t>Conclusion</w:t>
      </w:r>
      <w:r>
        <w:t>:</w:t>
      </w:r>
    </w:p>
    <w:p w:rsidR="007A5607" w:rsidRDefault="002E7AAC" w:rsidP="002E7AAC">
      <w:proofErr w:type="spellStart"/>
      <w:proofErr w:type="gramStart"/>
      <w:r>
        <w:t>Latanoprost</w:t>
      </w:r>
      <w:proofErr w:type="spellEnd"/>
      <w:r>
        <w:t xml:space="preserve">  seems</w:t>
      </w:r>
      <w:proofErr w:type="gramEnd"/>
      <w:r>
        <w:t xml:space="preserve"> to be another good adjuvant to the standard medical treatment of Vitiligo but further randomized clinical trials with larger sample size are required to establish its definite role.</w:t>
      </w:r>
    </w:p>
    <w:sectPr w:rsidR="007A5607" w:rsidSect="007A5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2E7AAC"/>
    <w:rsid w:val="002E7AAC"/>
    <w:rsid w:val="007A5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NAEEM</dc:creator>
  <cp:lastModifiedBy>TARIQ NAEEM</cp:lastModifiedBy>
  <cp:revision>1</cp:revision>
  <dcterms:created xsi:type="dcterms:W3CDTF">2018-01-16T04:18:00Z</dcterms:created>
  <dcterms:modified xsi:type="dcterms:W3CDTF">2018-01-16T04:26:00Z</dcterms:modified>
</cp:coreProperties>
</file>