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61D" w:rsidRDefault="009A361D" w:rsidP="009A361D">
      <w:p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The expression of IL-17A, in chronic spontaneous 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</w:rPr>
        <w:t>urticaria</w:t>
      </w:r>
      <w:proofErr w:type="spellEnd"/>
      <w:r>
        <w:rPr>
          <w:rFonts w:asciiTheme="majorBidi" w:hAnsiTheme="majorBidi" w:cstheme="majorBidi"/>
          <w:b/>
          <w:bCs/>
          <w:sz w:val="28"/>
          <w:szCs w:val="28"/>
        </w:rPr>
        <w:t xml:space="preserve">,                                             </w:t>
      </w:r>
      <w:proofErr w:type="gramStart"/>
      <w:r>
        <w:rPr>
          <w:rFonts w:asciiTheme="majorBidi" w:hAnsiTheme="majorBidi" w:cstheme="majorBidi"/>
          <w:b/>
          <w:bCs/>
          <w:sz w:val="28"/>
          <w:szCs w:val="28"/>
        </w:rPr>
        <w:t>is linked</w:t>
      </w:r>
      <w:proofErr w:type="gramEnd"/>
      <w:r>
        <w:rPr>
          <w:rFonts w:asciiTheme="majorBidi" w:hAnsiTheme="majorBidi" w:cstheme="majorBidi"/>
          <w:b/>
          <w:bCs/>
          <w:sz w:val="28"/>
          <w:szCs w:val="28"/>
        </w:rPr>
        <w:t xml:space="preserve"> to Semaphorin5A</w:t>
      </w:r>
    </w:p>
    <w:p w:rsidR="001D39D2" w:rsidRPr="009A361D" w:rsidRDefault="009A361D" w:rsidP="009A361D">
      <w:pPr>
        <w:rPr>
          <w:rFonts w:asciiTheme="majorBidi" w:hAnsiTheme="majorBidi" w:cstheme="majorBidi"/>
          <w:b/>
          <w:bCs/>
          <w:sz w:val="24"/>
          <w:szCs w:val="24"/>
        </w:rPr>
      </w:pPr>
      <w:r w:rsidRPr="009A361D">
        <w:rPr>
          <w:rFonts w:asciiTheme="majorBidi" w:hAnsiTheme="majorBidi" w:cstheme="majorBidi"/>
          <w:b/>
          <w:bCs/>
          <w:sz w:val="24"/>
          <w:szCs w:val="24"/>
        </w:rPr>
        <w:t>Zahava Vadasz and Elias Toubi</w:t>
      </w:r>
    </w:p>
    <w:p w:rsidR="009A361D" w:rsidRPr="009A361D" w:rsidRDefault="009A361D" w:rsidP="009A361D">
      <w:pPr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9A361D">
        <w:rPr>
          <w:rFonts w:asciiTheme="majorBidi" w:hAnsiTheme="majorBidi" w:cstheme="majorBidi"/>
          <w:b/>
          <w:bCs/>
          <w:sz w:val="24"/>
          <w:szCs w:val="24"/>
        </w:rPr>
        <w:t>Bnai</w:t>
      </w:r>
      <w:proofErr w:type="spellEnd"/>
      <w:r w:rsidRPr="009A361D">
        <w:rPr>
          <w:rFonts w:asciiTheme="majorBidi" w:hAnsiTheme="majorBidi" w:cstheme="majorBidi"/>
          <w:b/>
          <w:bCs/>
          <w:sz w:val="24"/>
          <w:szCs w:val="24"/>
        </w:rPr>
        <w:t xml:space="preserve">-Zion Medical Center, </w:t>
      </w:r>
      <w:proofErr w:type="gramStart"/>
      <w:r w:rsidRPr="009A361D">
        <w:rPr>
          <w:rFonts w:asciiTheme="majorBidi" w:hAnsiTheme="majorBidi" w:cstheme="majorBidi"/>
          <w:b/>
          <w:bCs/>
          <w:sz w:val="24"/>
          <w:szCs w:val="24"/>
        </w:rPr>
        <w:t>The</w:t>
      </w:r>
      <w:proofErr w:type="gramEnd"/>
      <w:r w:rsidRPr="009A361D">
        <w:rPr>
          <w:rFonts w:asciiTheme="majorBidi" w:hAnsiTheme="majorBidi" w:cstheme="majorBidi"/>
          <w:b/>
          <w:bCs/>
          <w:sz w:val="24"/>
          <w:szCs w:val="24"/>
        </w:rPr>
        <w:t xml:space="preserve"> Rappaport Faculty of Medicine, </w:t>
      </w:r>
      <w:proofErr w:type="spellStart"/>
      <w:r w:rsidRPr="009A361D">
        <w:rPr>
          <w:rFonts w:asciiTheme="majorBidi" w:hAnsiTheme="majorBidi" w:cstheme="majorBidi"/>
          <w:b/>
          <w:bCs/>
          <w:sz w:val="24"/>
          <w:szCs w:val="24"/>
        </w:rPr>
        <w:t>Technion</w:t>
      </w:r>
      <w:proofErr w:type="spellEnd"/>
      <w:r w:rsidRPr="009A361D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bookmarkStart w:id="0" w:name="_GoBack"/>
      <w:r w:rsidRPr="009A361D">
        <w:rPr>
          <w:rFonts w:asciiTheme="majorBidi" w:hAnsiTheme="majorBidi" w:cstheme="majorBidi"/>
          <w:b/>
          <w:bCs/>
          <w:sz w:val="24"/>
          <w:szCs w:val="24"/>
        </w:rPr>
        <w:t>Haifa, Israel.</w:t>
      </w:r>
    </w:p>
    <w:bookmarkEnd w:id="0"/>
    <w:p w:rsidR="009A361D" w:rsidRDefault="009A361D" w:rsidP="009A361D"/>
    <w:p w:rsidR="009A361D" w:rsidRPr="001807FA" w:rsidRDefault="009A361D" w:rsidP="009A361D">
      <w:pPr>
        <w:spacing w:line="480" w:lineRule="auto"/>
        <w:ind w:left="-284"/>
        <w:rPr>
          <w:rFonts w:asciiTheme="majorBidi" w:hAnsiTheme="majorBidi" w:cstheme="majorBidi"/>
          <w:sz w:val="24"/>
          <w:szCs w:val="24"/>
        </w:rPr>
      </w:pPr>
      <w:r w:rsidRPr="00390229">
        <w:rPr>
          <w:rFonts w:asciiTheme="majorBidi" w:hAnsiTheme="majorBidi" w:cstheme="majorBidi"/>
          <w:b/>
          <w:bCs/>
          <w:sz w:val="24"/>
          <w:szCs w:val="24"/>
        </w:rPr>
        <w:t>Background:</w:t>
      </w:r>
      <w:r>
        <w:rPr>
          <w:rFonts w:asciiTheme="majorBidi" w:hAnsiTheme="majorBidi" w:cstheme="majorBidi"/>
          <w:sz w:val="24"/>
          <w:szCs w:val="24"/>
        </w:rPr>
        <w:t xml:space="preserve"> Patients with chronic spontaneous </w:t>
      </w:r>
      <w:proofErr w:type="spellStart"/>
      <w:r>
        <w:rPr>
          <w:rFonts w:asciiTheme="majorBidi" w:hAnsiTheme="majorBidi" w:cstheme="majorBidi"/>
          <w:sz w:val="24"/>
          <w:szCs w:val="24"/>
        </w:rPr>
        <w:t>urticaria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(CSU), an autoimmune disorder, show increased skin expression of IL-17A and can benefit from treatment with the anti-IL-17A biologic </w:t>
      </w:r>
      <w:proofErr w:type="spellStart"/>
      <w:r>
        <w:rPr>
          <w:rFonts w:asciiTheme="majorBidi" w:hAnsiTheme="majorBidi" w:cstheme="majorBidi"/>
          <w:sz w:val="24"/>
          <w:szCs w:val="24"/>
        </w:rPr>
        <w:t>secukinumab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. The mechanisms that drive IL-17A expression, in CSU, are currently unknown, but may involve Semaphorin5A (Sema5A). </w:t>
      </w:r>
      <w:r w:rsidRPr="00D7755B">
        <w:rPr>
          <w:rFonts w:asciiTheme="majorBidi" w:hAnsiTheme="majorBidi" w:cstheme="majorBidi"/>
          <w:b/>
          <w:bCs/>
          <w:sz w:val="24"/>
          <w:szCs w:val="24"/>
        </w:rPr>
        <w:t>Objective:</w:t>
      </w:r>
      <w:r>
        <w:rPr>
          <w:rFonts w:asciiTheme="majorBidi" w:hAnsiTheme="majorBidi" w:cstheme="majorBidi"/>
          <w:sz w:val="24"/>
          <w:szCs w:val="24"/>
        </w:rPr>
        <w:t xml:space="preserve"> To explore the expression, role and effects of Sema5A in CSU and its link to IL-17A. </w:t>
      </w:r>
      <w:r w:rsidRPr="002203ED">
        <w:rPr>
          <w:rFonts w:asciiTheme="majorBidi" w:hAnsiTheme="majorBidi" w:cstheme="majorBidi"/>
          <w:b/>
          <w:bCs/>
          <w:sz w:val="24"/>
          <w:szCs w:val="24"/>
        </w:rPr>
        <w:t>Material and Methods:</w:t>
      </w:r>
      <w:r>
        <w:rPr>
          <w:rFonts w:asciiTheme="majorBidi" w:hAnsiTheme="majorBidi" w:cstheme="majorBidi"/>
          <w:sz w:val="24"/>
          <w:szCs w:val="24"/>
        </w:rPr>
        <w:t xml:space="preserve"> We investigated patients with CSU and healthy controls for skin expression of Sema5a, mast cells, CD4+ T cells, and IL-17A and assessed the effects of Sema5A on their rates of IL-17A-expressing peripheral T cells. </w:t>
      </w:r>
      <w:r w:rsidRPr="00D7755B">
        <w:rPr>
          <w:rFonts w:asciiTheme="majorBidi" w:hAnsiTheme="majorBidi" w:cstheme="majorBidi"/>
          <w:b/>
          <w:bCs/>
          <w:sz w:val="24"/>
          <w:szCs w:val="24"/>
        </w:rPr>
        <w:t>Results:</w:t>
      </w:r>
      <w:r>
        <w:rPr>
          <w:rFonts w:asciiTheme="majorBidi" w:hAnsiTheme="majorBidi" w:cstheme="majorBidi"/>
          <w:sz w:val="24"/>
          <w:szCs w:val="24"/>
        </w:rPr>
        <w:t xml:space="preserve"> Sema5A was highly expressed in the skin of CSU patients as compared to healthy control skin. Both, CD4+ T cells and mast cells in CSU skin expressed Sema5A, and many of them expressed both, Sema5A and IL-17A. Patients with CSU had significantly higher rates of IL-17A-expressing CD4+ T cells as compared to healthy controls. Incubation with Sema5A increased the rates of IL-17A-expressing CD4+ T cells in healthy controls to CSU levels.  </w:t>
      </w:r>
      <w:r w:rsidRPr="005E387F">
        <w:rPr>
          <w:rFonts w:asciiTheme="majorBidi" w:hAnsiTheme="majorBidi" w:cstheme="majorBidi"/>
          <w:b/>
          <w:bCs/>
          <w:sz w:val="24"/>
          <w:szCs w:val="24"/>
        </w:rPr>
        <w:t>Conclusion:</w:t>
      </w:r>
      <w:r>
        <w:rPr>
          <w:rFonts w:asciiTheme="majorBidi" w:hAnsiTheme="majorBidi" w:cstheme="majorBidi"/>
          <w:sz w:val="24"/>
          <w:szCs w:val="24"/>
        </w:rPr>
        <w:t xml:space="preserve"> Sema5A may drive the expression and effects of IL-17A in CSU. Further studies in larger cohorts </w:t>
      </w:r>
      <w:proofErr w:type="gramStart"/>
      <w:r>
        <w:rPr>
          <w:rFonts w:asciiTheme="majorBidi" w:hAnsiTheme="majorBidi" w:cstheme="majorBidi"/>
          <w:sz w:val="24"/>
          <w:szCs w:val="24"/>
        </w:rPr>
        <w:t>are needed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to confirm the role of Sema5A in the pathogenesis of CSU and to explore its potential as a therapeutic target. </w:t>
      </w:r>
    </w:p>
    <w:p w:rsidR="009A361D" w:rsidRDefault="009A361D" w:rsidP="009A361D"/>
    <w:sectPr w:rsidR="009A361D" w:rsidSect="005B69E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61D"/>
    <w:rsid w:val="005B69EA"/>
    <w:rsid w:val="009A361D"/>
    <w:rsid w:val="00DC6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1BB0B"/>
  <w15:chartTrackingRefBased/>
  <w15:docId w15:val="{2942E3C1-86D7-4515-9F0B-C95FE109D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36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zahava.vadas</dc:creator>
  <cp:keywords/>
  <dc:description/>
  <cp:lastModifiedBy>zahava.vadas</cp:lastModifiedBy>
  <cp:revision>1</cp:revision>
  <dcterms:created xsi:type="dcterms:W3CDTF">2021-12-15T04:59:00Z</dcterms:created>
  <dcterms:modified xsi:type="dcterms:W3CDTF">2021-12-15T05:01:00Z</dcterms:modified>
</cp:coreProperties>
</file>