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6AD172" w14:textId="48FBADAF" w:rsidR="00942C9F" w:rsidRDefault="006B20AB" w:rsidP="00942C9F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en-GB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en-GB"/>
        </w:rPr>
        <w:t xml:space="preserve">Oral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en-GB"/>
        </w:rPr>
        <w:t>albendazole</w:t>
      </w:r>
      <w:proofErr w:type="spellEnd"/>
      <w:r w:rsidR="003C7D5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en-GB"/>
        </w:rPr>
        <w:t xml:space="preserve"> </w:t>
      </w:r>
      <w:r w:rsidR="00942C9F" w:rsidRPr="004C7BB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en-GB"/>
        </w:rPr>
        <w:t xml:space="preserve">is effective against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en-GB"/>
        </w:rPr>
        <w:t>phthiriasis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en-GB"/>
        </w:rPr>
        <w:t>papebrarum</w:t>
      </w:r>
      <w:proofErr w:type="spellEnd"/>
      <w:r w:rsidR="00942C9F" w:rsidRPr="004C7BB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en-GB"/>
        </w:rPr>
        <w:t>.</w:t>
      </w:r>
    </w:p>
    <w:p w14:paraId="61F1CA45" w14:textId="77777777" w:rsidR="00942C9F" w:rsidRPr="00417DF0" w:rsidRDefault="00942C9F" w:rsidP="00942C9F">
      <w:pPr>
        <w:pStyle w:val="NormalWeb"/>
        <w:spacing w:before="0" w:beforeAutospacing="0" w:after="0" w:afterAutospacing="0"/>
      </w:pPr>
      <w:r>
        <w:rPr>
          <w:rFonts w:ascii="Times New Roman" w:hAnsi="Times New Roman"/>
          <w:color w:val="000000" w:themeColor="text1"/>
          <w:kern w:val="24"/>
          <w:sz w:val="16"/>
          <w:szCs w:val="16"/>
        </w:rPr>
        <w:t>Marc MRAD,</w:t>
      </w:r>
      <w:r>
        <w:rPr>
          <w:rFonts w:ascii="Times New Roman" w:hAnsi="Times New Roman"/>
          <w:color w:val="000000" w:themeColor="text1"/>
          <w:kern w:val="24"/>
          <w:position w:val="5"/>
          <w:sz w:val="16"/>
          <w:szCs w:val="16"/>
          <w:vertAlign w:val="superscript"/>
        </w:rPr>
        <w:t>* 1,2</w:t>
      </w:r>
      <w:r>
        <w:rPr>
          <w:rFonts w:ascii="Times New Roman" w:hAnsi="Times New Roman"/>
          <w:color w:val="000000" w:themeColor="text1"/>
          <w:kern w:val="24"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kern w:val="24"/>
          <w:sz w:val="16"/>
          <w:szCs w:val="16"/>
        </w:rPr>
        <w:t>Ribal</w:t>
      </w:r>
      <w:proofErr w:type="spellEnd"/>
      <w:r>
        <w:rPr>
          <w:rFonts w:ascii="Times New Roman" w:hAnsi="Times New Roman"/>
          <w:color w:val="000000" w:themeColor="text1"/>
          <w:kern w:val="24"/>
          <w:sz w:val="16"/>
          <w:szCs w:val="16"/>
        </w:rPr>
        <w:t xml:space="preserve"> MERHI</w:t>
      </w:r>
      <w:r>
        <w:rPr>
          <w:rFonts w:ascii="Times New Roman" w:hAnsi="Times New Roman"/>
          <w:color w:val="000000" w:themeColor="text1"/>
          <w:kern w:val="24"/>
          <w:position w:val="5"/>
          <w:sz w:val="16"/>
          <w:szCs w:val="16"/>
          <w:vertAlign w:val="superscript"/>
        </w:rPr>
        <w:t>1</w:t>
      </w:r>
    </w:p>
    <w:p w14:paraId="7D498B1D" w14:textId="13E99A54" w:rsidR="00942C9F" w:rsidRDefault="00942C9F" w:rsidP="00942C9F">
      <w:pPr>
        <w:spacing w:line="240" w:lineRule="auto"/>
        <w:rPr>
          <w:rFonts w:ascii="Times" w:hAnsi="Times" w:cs="Arial"/>
          <w:color w:val="000000" w:themeColor="text1"/>
          <w:sz w:val="24"/>
          <w:szCs w:val="24"/>
          <w:lang w:val="en"/>
        </w:rPr>
      </w:pPr>
      <w:r>
        <w:rPr>
          <w:rFonts w:ascii="Times New Roman" w:hAnsi="Times New Roman"/>
          <w:color w:val="000000" w:themeColor="text1"/>
          <w:kern w:val="24"/>
          <w:position w:val="5"/>
          <w:sz w:val="16"/>
          <w:szCs w:val="16"/>
          <w:vertAlign w:val="superscript"/>
        </w:rPr>
        <w:t>1</w:t>
      </w:r>
      <w:proofErr w:type="spellStart"/>
      <w:r>
        <w:rPr>
          <w:rFonts w:ascii="Times New Roman" w:hAnsi="Times New Roman"/>
          <w:color w:val="000000" w:themeColor="text1"/>
          <w:kern w:val="24"/>
          <w:sz w:val="16"/>
          <w:szCs w:val="16"/>
        </w:rPr>
        <w:t>Universite</w:t>
      </w:r>
      <w:proofErr w:type="spellEnd"/>
      <w:r>
        <w:rPr>
          <w:rFonts w:ascii="Times New Roman" w:hAnsi="Times New Roman"/>
          <w:color w:val="000000" w:themeColor="text1"/>
          <w:kern w:val="24"/>
          <w:sz w:val="16"/>
          <w:szCs w:val="16"/>
        </w:rPr>
        <w:t xml:space="preserve"> Pierre et Marie Curie ; INSERM Saint Antoine </w:t>
      </w:r>
      <w:proofErr w:type="spellStart"/>
      <w:r>
        <w:rPr>
          <w:rFonts w:ascii="Times New Roman" w:hAnsi="Times New Roman"/>
          <w:color w:val="000000" w:themeColor="text1"/>
          <w:kern w:val="24"/>
          <w:sz w:val="16"/>
          <w:szCs w:val="16"/>
        </w:rPr>
        <w:t>Research</w:t>
      </w:r>
      <w:proofErr w:type="spellEnd"/>
      <w:r>
        <w:rPr>
          <w:rFonts w:ascii="Times New Roman" w:hAnsi="Times New Roman"/>
          <w:color w:val="000000" w:themeColor="text1"/>
          <w:kern w:val="24"/>
          <w:sz w:val="16"/>
          <w:szCs w:val="16"/>
        </w:rPr>
        <w:t xml:space="preserve"> Center, Paris, France.</w:t>
      </w:r>
      <w:r>
        <w:rPr>
          <w:rFonts w:ascii="Times New Roman" w:hAnsi="Times New Roman"/>
          <w:color w:val="000000" w:themeColor="text1"/>
          <w:kern w:val="24"/>
          <w:position w:val="5"/>
          <w:sz w:val="16"/>
          <w:szCs w:val="16"/>
          <w:vertAlign w:val="superscript"/>
        </w:rPr>
        <w:t>2</w:t>
      </w:r>
      <w:proofErr w:type="spellStart"/>
      <w:r>
        <w:rPr>
          <w:rFonts w:ascii="Times New Roman" w:hAnsi="Times New Roman"/>
          <w:color w:val="000000" w:themeColor="text1"/>
          <w:kern w:val="24"/>
          <w:sz w:val="16"/>
          <w:szCs w:val="16"/>
        </w:rPr>
        <w:t>Dermatology</w:t>
      </w:r>
      <w:proofErr w:type="spellEnd"/>
      <w:r>
        <w:rPr>
          <w:rFonts w:ascii="Times New Roman" w:hAnsi="Times New Roman"/>
          <w:color w:val="000000" w:themeColor="text1"/>
          <w:kern w:val="24"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kern w:val="24"/>
          <w:sz w:val="16"/>
          <w:szCs w:val="16"/>
        </w:rPr>
        <w:t>department</w:t>
      </w:r>
      <w:proofErr w:type="spellEnd"/>
      <w:r>
        <w:rPr>
          <w:rFonts w:ascii="Times New Roman" w:hAnsi="Times New Roman"/>
          <w:color w:val="000000" w:themeColor="text1"/>
          <w:kern w:val="24"/>
          <w:sz w:val="16"/>
          <w:szCs w:val="16"/>
        </w:rPr>
        <w:t>, CHU NDS, Lebanon.</w:t>
      </w:r>
    </w:p>
    <w:p w14:paraId="52B8F5FF" w14:textId="77777777" w:rsidR="00C453AD" w:rsidRPr="006B20AB" w:rsidRDefault="00AB7320" w:rsidP="00B96267">
      <w:pPr>
        <w:spacing w:line="240" w:lineRule="auto"/>
        <w:rPr>
          <w:rFonts w:ascii="Times" w:hAnsi="Times" w:cs="Arial"/>
          <w:b/>
          <w:color w:val="000000" w:themeColor="text1"/>
          <w:sz w:val="24"/>
          <w:szCs w:val="24"/>
          <w:u w:val="single"/>
          <w:lang w:val="en"/>
        </w:rPr>
      </w:pPr>
      <w:r w:rsidRPr="006B20AB">
        <w:rPr>
          <w:rFonts w:ascii="Times" w:hAnsi="Times" w:cs="Arial"/>
          <w:b/>
          <w:color w:val="000000" w:themeColor="text1"/>
          <w:sz w:val="24"/>
          <w:szCs w:val="24"/>
          <w:u w:val="single"/>
          <w:lang w:val="en"/>
        </w:rPr>
        <w:t>Introduction:</w:t>
      </w:r>
    </w:p>
    <w:p w14:paraId="5B3EA453" w14:textId="4788EFC9" w:rsidR="00AB7320" w:rsidRPr="003C7D52" w:rsidRDefault="00AB7320" w:rsidP="00B96267">
      <w:pPr>
        <w:spacing w:line="240" w:lineRule="auto"/>
        <w:rPr>
          <w:rFonts w:ascii="Times" w:hAnsi="Times" w:cs="Arial"/>
          <w:color w:val="000000" w:themeColor="text1"/>
          <w:sz w:val="24"/>
          <w:szCs w:val="24"/>
          <w:lang w:val="en"/>
        </w:rPr>
      </w:pP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Treatment of phthiriasis palpebrarum is based on the mechanical ablation of lice and nits after topical Vaseline application</w:t>
      </w:r>
      <w:r w:rsidR="00B54CA5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[1]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, shaving of the eyelashes</w:t>
      </w:r>
      <w:r w:rsidR="00B54CA5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[2]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, oral ivermectin administration</w:t>
      </w:r>
      <w:r w:rsidR="00B54CA5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[3]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, application of pilocarpine gel</w:t>
      </w:r>
      <w:r w:rsidR="00B54CA5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[4]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, fluorescein drops</w:t>
      </w:r>
      <w:r w:rsidR="00B54CA5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[5]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, yellow mercury oxide ointment</w:t>
      </w:r>
      <w:r w:rsidR="00B54CA5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[6]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, permethrin cream</w:t>
      </w:r>
      <w:r w:rsidR="00B54CA5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[7]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, lindane lotion </w:t>
      </w:r>
      <w:r w:rsidR="00B54CA5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[8] 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or malathion shampoo</w:t>
      </w:r>
      <w:r w:rsidR="00B54CA5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[9]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.</w:t>
      </w:r>
    </w:p>
    <w:p w14:paraId="0D32EF9A" w14:textId="5488E208" w:rsidR="00B24C4F" w:rsidRPr="003C7D52" w:rsidRDefault="00AB7320" w:rsidP="00B96267">
      <w:pPr>
        <w:spacing w:line="240" w:lineRule="auto"/>
        <w:rPr>
          <w:rFonts w:ascii="Times" w:hAnsi="Times" w:cs="Arial"/>
          <w:color w:val="000000" w:themeColor="text1"/>
          <w:sz w:val="24"/>
          <w:szCs w:val="24"/>
          <w:lang w:val="en"/>
        </w:rPr>
      </w:pP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The </w:t>
      </w:r>
      <w:r w:rsidR="00B24C4F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emergence of resistant strains, the 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risk of major eye damage</w:t>
      </w:r>
      <w:r w:rsidR="00B24C4F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</w:t>
      </w:r>
      <w:r w:rsidR="00216450">
        <w:rPr>
          <w:rFonts w:ascii="Times" w:hAnsi="Times" w:cs="Arial"/>
          <w:color w:val="000000" w:themeColor="text1"/>
          <w:sz w:val="24"/>
          <w:szCs w:val="24"/>
          <w:lang w:val="en"/>
        </w:rPr>
        <w:t>[10</w:t>
      </w:r>
      <w:r w:rsidR="00B54CA5">
        <w:rPr>
          <w:rFonts w:ascii="Times" w:hAnsi="Times" w:cs="Arial"/>
          <w:color w:val="000000" w:themeColor="text1"/>
          <w:sz w:val="24"/>
          <w:szCs w:val="24"/>
          <w:lang w:val="en"/>
        </w:rPr>
        <w:t>]</w:t>
      </w:r>
      <w:r w:rsidR="00216450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and the favorable</w:t>
      </w:r>
      <w:r w:rsidR="00B24C4F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Benzimidazoles</w:t>
      </w:r>
      <w:r w:rsidR="00B24C4F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outcomes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in pediculosis </w:t>
      </w:r>
      <w:r w:rsidR="00B24C4F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capitis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and pubic phthaliasis</w:t>
      </w:r>
      <w:r w:rsidR="00216450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[11,12]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, prompted us to use albendazole</w:t>
      </w:r>
      <w:r w:rsidR="00B24C4F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a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gainst ciliary phthiriasis.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br/>
        <w:t>We report a case of ciliary phthiriasis resistant to several therapeutic modalities having responded to albendazole</w:t>
      </w:r>
      <w:r w:rsidR="00B24C4F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</w:t>
      </w:r>
      <w:r w:rsidR="00FE12C3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per os.</w:t>
      </w:r>
    </w:p>
    <w:p w14:paraId="7E4AA4DF" w14:textId="6FE73794" w:rsidR="00FE12C3" w:rsidRPr="003C7D52" w:rsidRDefault="00AB7320" w:rsidP="00B96267">
      <w:pPr>
        <w:spacing w:line="240" w:lineRule="auto"/>
        <w:rPr>
          <w:rFonts w:ascii="Times" w:hAnsi="Times" w:cs="Arial"/>
          <w:color w:val="000000" w:themeColor="text1"/>
          <w:sz w:val="24"/>
          <w:szCs w:val="24"/>
          <w:lang w:val="en"/>
        </w:rPr>
      </w:pPr>
      <w:r w:rsidRPr="006B20AB">
        <w:rPr>
          <w:rFonts w:ascii="Times" w:hAnsi="Times" w:cs="Arial"/>
          <w:b/>
          <w:color w:val="000000" w:themeColor="text1"/>
          <w:sz w:val="24"/>
          <w:szCs w:val="24"/>
          <w:u w:val="single"/>
          <w:lang w:val="en"/>
        </w:rPr>
        <w:t>Observations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:</w:t>
      </w:r>
    </w:p>
    <w:p w14:paraId="761EAC8D" w14:textId="144C2C45" w:rsidR="008C4CBD" w:rsidRPr="003C7D52" w:rsidRDefault="00AB7320" w:rsidP="00B96267">
      <w:pPr>
        <w:spacing w:line="240" w:lineRule="auto"/>
        <w:rPr>
          <w:rFonts w:ascii="Times" w:hAnsi="Times" w:cs="Arial"/>
          <w:color w:val="000000" w:themeColor="text1"/>
          <w:sz w:val="24"/>
          <w:szCs w:val="24"/>
          <w:lang w:val="en"/>
        </w:rPr>
      </w:pP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A seven-year-old child with no significant personal or family history was seen in</w:t>
      </w:r>
      <w:r w:rsidR="00B24C4F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our outpatient clinic for o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cular pruritus.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br/>
        <w:t xml:space="preserve">The diagnosis of ciliary phthiriasis was made on the physical examination, which </w:t>
      </w:r>
      <w:r w:rsidR="00B24C4F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identified the 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presence of small</w:t>
      </w:r>
      <w:r w:rsidR="00B24C4F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brownish crusts 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at the base of the eyelashes, associated with visible lice and nits</w:t>
      </w:r>
      <w:r w:rsidR="00C453AD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</w:t>
      </w:r>
      <w:r w:rsidR="00E93E19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(Fig.1 and 2)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.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br/>
        <w:t>The patient was previously treated with several local applications of permethrin 1% cream and</w:t>
      </w:r>
      <w:r w:rsidR="00B24C4F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a daily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occlusive treatment</w:t>
      </w:r>
      <w:r w:rsidR="00B24C4F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with vaseline 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for 2 weeks</w:t>
      </w:r>
      <w:r w:rsidR="00FE12C3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, with no</w:t>
      </w:r>
      <w:r w:rsidR="008C4CBD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significant result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.</w:t>
      </w:r>
    </w:p>
    <w:p w14:paraId="3AF8AEF7" w14:textId="494AFE26" w:rsidR="00C453AD" w:rsidRDefault="00B24C4F" w:rsidP="00B96267">
      <w:pPr>
        <w:spacing w:line="240" w:lineRule="auto"/>
        <w:rPr>
          <w:rFonts w:ascii="Times" w:hAnsi="Times" w:cs="Arial"/>
          <w:color w:val="000000" w:themeColor="text1"/>
          <w:sz w:val="24"/>
          <w:szCs w:val="24"/>
          <w:lang w:val="en"/>
        </w:rPr>
      </w:pP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Due to</w:t>
      </w:r>
      <w:r w:rsidR="00E93E19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the absence of ivermectin</w:t>
      </w:r>
      <w:r w:rsidR="00AB7320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, a dose of 400mg</w:t>
      </w:r>
      <w:r w:rsidR="008C4CBD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o</w:t>
      </w:r>
      <w:r w:rsidR="00AB7320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f albendazole per os was administered</w:t>
      </w:r>
      <w:r w:rsidR="008C4CBD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to the patient</w:t>
      </w:r>
      <w:r w:rsidR="00E93E19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(J0)</w:t>
      </w:r>
      <w:r w:rsidR="00AB7320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, and repeated </w:t>
      </w:r>
      <w:r w:rsidR="008C4CBD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after seven</w:t>
      </w:r>
      <w:r w:rsidR="00AB7320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days</w:t>
      </w:r>
      <w:r w:rsidR="00E93E19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(J8)</w:t>
      </w:r>
      <w:r w:rsidR="00AB7320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.</w:t>
      </w:r>
      <w:r w:rsidR="00FE12C3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br/>
      </w:r>
      <w:r w:rsidR="008C4CBD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Complete resolution of the clinical signs and symptoms was noted</w:t>
      </w:r>
      <w:r w:rsidR="00E93E19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(Fig.3)</w:t>
      </w:r>
      <w:r w:rsidR="00AB7320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. No recurrence was observed </w:t>
      </w:r>
      <w:r w:rsidR="008C4CBD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after a six months follow-up.</w:t>
      </w:r>
    </w:p>
    <w:p w14:paraId="1D67987F" w14:textId="2757EF98" w:rsidR="004F6791" w:rsidRPr="003C7D52" w:rsidRDefault="004F6791" w:rsidP="00B96267">
      <w:pPr>
        <w:spacing w:line="240" w:lineRule="auto"/>
        <w:rPr>
          <w:rFonts w:ascii="Times" w:hAnsi="Times" w:cs="Arial"/>
          <w:color w:val="000000" w:themeColor="text1"/>
          <w:sz w:val="24"/>
          <w:szCs w:val="24"/>
          <w:lang w:val="en"/>
        </w:rPr>
      </w:pPr>
      <w:r w:rsidRPr="004F6791">
        <w:rPr>
          <w:rFonts w:ascii="Times" w:hAnsi="Times" w:cs="Arial"/>
          <w:color w:val="000000" w:themeColor="text1"/>
          <w:sz w:val="24"/>
          <w:szCs w:val="24"/>
          <w:lang w:val="en"/>
        </w:rPr>
        <w:t>Since the presence of ci</w:t>
      </w:r>
      <w:r>
        <w:rPr>
          <w:rFonts w:ascii="Times" w:hAnsi="Times" w:cs="Arial"/>
          <w:color w:val="000000" w:themeColor="text1"/>
          <w:sz w:val="24"/>
          <w:szCs w:val="24"/>
          <w:lang w:val="en"/>
        </w:rPr>
        <w:t>liary phthiriasis may indicate</w:t>
      </w:r>
      <w:r w:rsidRPr="004F6791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possible sexual abuse, the hospital's social service was informed </w:t>
      </w:r>
      <w:r>
        <w:rPr>
          <w:rFonts w:ascii="Times" w:hAnsi="Times" w:cs="Arial"/>
          <w:color w:val="000000" w:themeColor="text1"/>
          <w:sz w:val="24"/>
          <w:szCs w:val="24"/>
          <w:lang w:val="en"/>
        </w:rPr>
        <w:t>for</w:t>
      </w:r>
      <w:r w:rsidRPr="004F6791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investigations.</w:t>
      </w:r>
    </w:p>
    <w:p w14:paraId="76A39156" w14:textId="5D04E2A7" w:rsidR="00FE12C3" w:rsidRPr="003C7D52" w:rsidRDefault="00AB7320" w:rsidP="00B96267">
      <w:pPr>
        <w:spacing w:line="240" w:lineRule="auto"/>
        <w:rPr>
          <w:rFonts w:ascii="Times" w:hAnsi="Times" w:cs="Arial"/>
          <w:color w:val="000000" w:themeColor="text1"/>
          <w:sz w:val="24"/>
          <w:szCs w:val="24"/>
          <w:lang w:val="en"/>
        </w:rPr>
      </w:pPr>
      <w:r w:rsidRPr="006B20AB">
        <w:rPr>
          <w:rFonts w:ascii="Times" w:hAnsi="Times" w:cs="Arial"/>
          <w:b/>
          <w:color w:val="000000" w:themeColor="text1"/>
          <w:sz w:val="24"/>
          <w:szCs w:val="24"/>
          <w:u w:val="single"/>
          <w:lang w:val="en"/>
        </w:rPr>
        <w:t>Discussion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:</w:t>
      </w:r>
    </w:p>
    <w:p w14:paraId="029270C8" w14:textId="1F77FB42" w:rsidR="00A81005" w:rsidRPr="003C7D52" w:rsidRDefault="00AB7320" w:rsidP="00B96267">
      <w:pPr>
        <w:spacing w:line="240" w:lineRule="auto"/>
        <w:rPr>
          <w:rFonts w:ascii="Times" w:hAnsi="Times" w:cs="Arial"/>
          <w:color w:val="000000" w:themeColor="text1"/>
          <w:sz w:val="24"/>
          <w:szCs w:val="24"/>
          <w:lang w:val="en"/>
        </w:rPr>
      </w:pP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Albendazole inhibits polymerization of tubulin into microtubules and has a high affinity for</w:t>
      </w:r>
      <w:r w:rsidR="008C4CBD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parasitic tubulin, 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sparing those of </w:t>
      </w:r>
      <w:r w:rsidR="008C4CBD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the 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mammalian hosts.</w:t>
      </w:r>
    </w:p>
    <w:p w14:paraId="737585B3" w14:textId="13114B89" w:rsidR="00C453AD" w:rsidRPr="003C7D52" w:rsidRDefault="00AB7320" w:rsidP="00B96267">
      <w:pPr>
        <w:spacing w:line="240" w:lineRule="auto"/>
        <w:rPr>
          <w:rFonts w:ascii="Times" w:hAnsi="Times" w:cs="Arial"/>
          <w:color w:val="000000" w:themeColor="text1"/>
          <w:sz w:val="24"/>
          <w:szCs w:val="24"/>
          <w:lang w:val="en"/>
        </w:rPr>
      </w:pP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Loss of cytoplasmic microtubules alters</w:t>
      </w:r>
      <w:r w:rsidR="00A81005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glucose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absorption</w:t>
      </w:r>
      <w:r w:rsidR="00A81005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by larvae and helminths, causing a decrease in ATP and </w:t>
      </w:r>
      <w:r w:rsidR="00A81005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an 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energy depletion,</w:t>
      </w:r>
      <w:r w:rsidR="00A81005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r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esulting in the immobilization and death of the parasite</w:t>
      </w:r>
      <w:r w:rsidR="00216450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 [13]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.</w:t>
      </w:r>
    </w:p>
    <w:p w14:paraId="749F8E3D" w14:textId="2038350D" w:rsidR="006B20AB" w:rsidRPr="003C7D52" w:rsidRDefault="00C453AD" w:rsidP="00B96267">
      <w:pPr>
        <w:spacing w:line="240" w:lineRule="auto"/>
        <w:rPr>
          <w:rFonts w:ascii="Times" w:hAnsi="Times" w:cs="Arial"/>
          <w:color w:val="000000" w:themeColor="text1"/>
          <w:sz w:val="24"/>
          <w:szCs w:val="24"/>
          <w:lang w:val="en"/>
        </w:rPr>
      </w:pPr>
      <w:r w:rsidRPr="003C7D52">
        <w:rPr>
          <w:rFonts w:ascii="Times" w:hAnsi="Times" w:cs="Roboto-Regular"/>
          <w:color w:val="000000" w:themeColor="text1"/>
          <w:sz w:val="24"/>
          <w:szCs w:val="24"/>
          <w:lang w:val="en-US"/>
        </w:rPr>
        <w:t xml:space="preserve">The principle of oral </w:t>
      </w:r>
      <w:proofErr w:type="spellStart"/>
      <w:r w:rsidR="00FE12C3" w:rsidRPr="003C7D52">
        <w:rPr>
          <w:rFonts w:ascii="Times" w:hAnsi="Times" w:cs="Roboto-Regular"/>
          <w:color w:val="000000" w:themeColor="text1"/>
          <w:sz w:val="24"/>
          <w:szCs w:val="24"/>
          <w:lang w:val="en-US"/>
        </w:rPr>
        <w:t>albendazole</w:t>
      </w:r>
      <w:proofErr w:type="spellEnd"/>
      <w:r w:rsidRPr="003C7D52">
        <w:rPr>
          <w:rFonts w:ascii="Times" w:hAnsi="Times" w:cs="Roboto-Regular"/>
          <w:color w:val="000000" w:themeColor="text1"/>
          <w:sz w:val="24"/>
          <w:szCs w:val="24"/>
          <w:lang w:val="en-US"/>
        </w:rPr>
        <w:t xml:space="preserve"> is based on the intake of a blood meal containing the insecticide. For this reason the nits are not affected </w:t>
      </w:r>
      <w:r w:rsidR="00FE12C3" w:rsidRPr="003C7D52">
        <w:rPr>
          <w:rFonts w:ascii="Times" w:hAnsi="Times" w:cs="Roboto-Regular"/>
          <w:color w:val="000000" w:themeColor="text1"/>
          <w:sz w:val="24"/>
          <w:szCs w:val="24"/>
          <w:lang w:val="en-US"/>
        </w:rPr>
        <w:t>and</w:t>
      </w:r>
      <w:r w:rsidRPr="003C7D52">
        <w:rPr>
          <w:rFonts w:ascii="Times" w:hAnsi="Times" w:cs="Roboto-Regular"/>
          <w:color w:val="000000" w:themeColor="text1"/>
          <w:sz w:val="24"/>
          <w:szCs w:val="24"/>
          <w:lang w:val="en-US"/>
        </w:rPr>
        <w:t xml:space="preserve"> the treatment must be repeated </w:t>
      </w:r>
      <w:r w:rsidR="00FE12C3" w:rsidRPr="003C7D52">
        <w:rPr>
          <w:rFonts w:ascii="Times" w:hAnsi="Times" w:cs="Roboto-Regular"/>
          <w:color w:val="000000" w:themeColor="text1"/>
          <w:sz w:val="24"/>
          <w:szCs w:val="24"/>
          <w:lang w:val="en-US"/>
        </w:rPr>
        <w:t xml:space="preserve">after </w:t>
      </w:r>
      <w:r w:rsidR="00216450">
        <w:rPr>
          <w:rFonts w:ascii="Times" w:hAnsi="Times" w:cs="Roboto-Regular"/>
          <w:color w:val="000000" w:themeColor="text1"/>
          <w:sz w:val="24"/>
          <w:szCs w:val="24"/>
          <w:lang w:val="en-US"/>
        </w:rPr>
        <w:t>7 days [3</w:t>
      </w:r>
      <w:r w:rsidRPr="003C7D52">
        <w:rPr>
          <w:rFonts w:ascii="Times" w:hAnsi="Times" w:cs="Roboto-Regular"/>
          <w:color w:val="000000" w:themeColor="text1"/>
          <w:sz w:val="24"/>
          <w:szCs w:val="24"/>
          <w:lang w:val="en-US"/>
        </w:rPr>
        <w:t>].</w:t>
      </w:r>
      <w:r w:rsidR="00FE12C3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br/>
      </w:r>
      <w:r w:rsidR="00AB7320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Given its price, </w:t>
      </w:r>
      <w:r w:rsidR="00A81005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safety, </w:t>
      </w:r>
      <w:r w:rsidR="00AB7320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rare and li</w:t>
      </w:r>
      <w:r w:rsidR="00FE12C3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 xml:space="preserve">mited side effects, albendazole </w:t>
      </w:r>
      <w:r w:rsidR="00A81005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c</w:t>
      </w:r>
      <w:r w:rsidR="00AB7320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ould be considered as a therapeuti</w:t>
      </w:r>
      <w:r w:rsidR="00A212C5">
        <w:rPr>
          <w:rFonts w:ascii="Times" w:hAnsi="Times" w:cs="Arial"/>
          <w:color w:val="000000" w:themeColor="text1"/>
          <w:sz w:val="24"/>
          <w:szCs w:val="24"/>
          <w:lang w:val="en"/>
        </w:rPr>
        <w:t>c option in ciliary phthiriasis.</w:t>
      </w:r>
    </w:p>
    <w:p w14:paraId="738F52B6" w14:textId="77777777" w:rsidR="00A212C5" w:rsidRDefault="00A212C5" w:rsidP="003C7D52">
      <w:pPr>
        <w:spacing w:line="480" w:lineRule="auto"/>
        <w:rPr>
          <w:rFonts w:ascii="Times" w:hAnsi="Times" w:cs="Times New Roman"/>
          <w:b/>
          <w:color w:val="000000" w:themeColor="text1"/>
          <w:sz w:val="24"/>
          <w:szCs w:val="24"/>
          <w:u w:val="single"/>
        </w:rPr>
      </w:pPr>
    </w:p>
    <w:p w14:paraId="26A91BAD" w14:textId="556D7A22" w:rsidR="003C7D52" w:rsidRPr="003C7D52" w:rsidRDefault="003C7D52" w:rsidP="003C7D52">
      <w:pPr>
        <w:spacing w:line="480" w:lineRule="auto"/>
        <w:rPr>
          <w:rFonts w:ascii="Times" w:hAnsi="Times" w:cs="Times New Roman"/>
          <w:color w:val="000000" w:themeColor="text1"/>
          <w:sz w:val="24"/>
          <w:szCs w:val="24"/>
        </w:rPr>
      </w:pPr>
      <w:r w:rsidRPr="003C7D52">
        <w:rPr>
          <w:rFonts w:ascii="Times" w:hAnsi="Times" w:cs="Times New Roman"/>
          <w:b/>
          <w:color w:val="000000" w:themeColor="text1"/>
          <w:sz w:val="24"/>
          <w:szCs w:val="24"/>
          <w:u w:val="single"/>
        </w:rPr>
        <w:lastRenderedPageBreak/>
        <w:t>Références</w:t>
      </w:r>
      <w:r w:rsidRPr="003C7D52">
        <w:rPr>
          <w:rFonts w:ascii="Times" w:hAnsi="Times" w:cs="Times New Roman"/>
          <w:color w:val="000000" w:themeColor="text1"/>
          <w:sz w:val="24"/>
          <w:szCs w:val="24"/>
        </w:rPr>
        <w:t>:</w:t>
      </w:r>
    </w:p>
    <w:p w14:paraId="40979084" w14:textId="439A40BC" w:rsidR="003C7D52" w:rsidRPr="006B20AB" w:rsidRDefault="003C7D52" w:rsidP="003C7D52">
      <w:pPr>
        <w:pStyle w:val="ListParagraph"/>
        <w:numPr>
          <w:ilvl w:val="0"/>
          <w:numId w:val="1"/>
        </w:numPr>
        <w:spacing w:line="480" w:lineRule="auto"/>
        <w:rPr>
          <w:rFonts w:ascii="Times" w:hAnsi="Times" w:cs="Times New Roman"/>
          <w:color w:val="000000" w:themeColor="text1"/>
          <w:sz w:val="20"/>
          <w:szCs w:val="20"/>
        </w:rPr>
      </w:pP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Workowski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KA, Bolan GA,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Centers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for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Disease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Control and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Prevention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.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Sexually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transmitted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diseases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treatment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guidelines, 2015. MMWR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Recomm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Rep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2015 ; 64 : 1-137.</w:t>
      </w:r>
    </w:p>
    <w:p w14:paraId="5BB1799B" w14:textId="0FB245D7" w:rsidR="003C7D52" w:rsidRPr="006B20AB" w:rsidRDefault="003C7D52" w:rsidP="003C7D52">
      <w:pPr>
        <w:pStyle w:val="ListParagraph"/>
        <w:numPr>
          <w:ilvl w:val="0"/>
          <w:numId w:val="1"/>
        </w:numPr>
        <w:spacing w:line="480" w:lineRule="auto"/>
        <w:rPr>
          <w:rFonts w:ascii="Times" w:hAnsi="Times" w:cs="Times New Roman"/>
          <w:color w:val="000000" w:themeColor="text1"/>
          <w:sz w:val="20"/>
          <w:szCs w:val="20"/>
        </w:rPr>
      </w:pPr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Yoon KC, Park HK,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Seo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MS, Park YG.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Mechanical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treatment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of phtiriasis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palpebrarum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.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Korean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J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Ophtalmol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2003 ; 17 : 71-3.</w:t>
      </w:r>
    </w:p>
    <w:p w14:paraId="1DF546ED" w14:textId="511BB179" w:rsidR="003C7D52" w:rsidRPr="006B20AB" w:rsidRDefault="00216450" w:rsidP="003C7D52">
      <w:pPr>
        <w:pStyle w:val="ListParagraph"/>
        <w:numPr>
          <w:ilvl w:val="0"/>
          <w:numId w:val="1"/>
        </w:numPr>
        <w:spacing w:line="480" w:lineRule="auto"/>
        <w:rPr>
          <w:rFonts w:ascii="Times" w:hAnsi="Times" w:cs="Times New Roman"/>
          <w:color w:val="000000" w:themeColor="text1"/>
          <w:sz w:val="20"/>
          <w:szCs w:val="20"/>
        </w:rPr>
      </w:pPr>
      <w:proofErr w:type="spellStart"/>
      <w:r>
        <w:rPr>
          <w:rFonts w:ascii="Times" w:hAnsi="Times" w:cs="Times New Roman"/>
          <w:color w:val="000000" w:themeColor="text1"/>
          <w:sz w:val="20"/>
          <w:szCs w:val="20"/>
        </w:rPr>
        <w:t>B</w:t>
      </w:r>
      <w:r w:rsidR="003C7D52" w:rsidRPr="006B20AB">
        <w:rPr>
          <w:rFonts w:ascii="Times" w:hAnsi="Times" w:cs="Times New Roman"/>
          <w:color w:val="000000" w:themeColor="text1"/>
          <w:sz w:val="20"/>
          <w:szCs w:val="20"/>
        </w:rPr>
        <w:t>urkhart</w:t>
      </w:r>
      <w:proofErr w:type="spellEnd"/>
      <w:r w:rsidR="003C7D52"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CN, </w:t>
      </w:r>
      <w:proofErr w:type="spellStart"/>
      <w:r w:rsidR="003C7D52" w:rsidRPr="006B20AB">
        <w:rPr>
          <w:rFonts w:ascii="Times" w:hAnsi="Times" w:cs="Times New Roman"/>
          <w:color w:val="000000" w:themeColor="text1"/>
          <w:sz w:val="20"/>
          <w:szCs w:val="20"/>
        </w:rPr>
        <w:t>Burkhart</w:t>
      </w:r>
      <w:proofErr w:type="spellEnd"/>
      <w:r w:rsidR="003C7D52"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CG. Oral </w:t>
      </w:r>
      <w:proofErr w:type="spellStart"/>
      <w:r w:rsidR="003C7D52" w:rsidRPr="006B20AB">
        <w:rPr>
          <w:rFonts w:ascii="Times" w:hAnsi="Times" w:cs="Times New Roman"/>
          <w:color w:val="000000" w:themeColor="text1"/>
          <w:sz w:val="20"/>
          <w:szCs w:val="20"/>
        </w:rPr>
        <w:t>ivermectin</w:t>
      </w:r>
      <w:proofErr w:type="spellEnd"/>
      <w:r w:rsidR="003C7D52"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</w:t>
      </w:r>
      <w:proofErr w:type="spellStart"/>
      <w:r w:rsidR="003C7D52" w:rsidRPr="006B20AB">
        <w:rPr>
          <w:rFonts w:ascii="Times" w:hAnsi="Times" w:cs="Times New Roman"/>
          <w:color w:val="000000" w:themeColor="text1"/>
          <w:sz w:val="20"/>
          <w:szCs w:val="20"/>
        </w:rPr>
        <w:t>therapy</w:t>
      </w:r>
      <w:proofErr w:type="spellEnd"/>
      <w:r w:rsidR="003C7D52"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for </w:t>
      </w:r>
      <w:proofErr w:type="spellStart"/>
      <w:r w:rsidR="003C7D52" w:rsidRPr="006B20AB">
        <w:rPr>
          <w:rFonts w:ascii="Times" w:hAnsi="Times" w:cs="Times New Roman"/>
          <w:color w:val="000000" w:themeColor="text1"/>
          <w:sz w:val="20"/>
          <w:szCs w:val="20"/>
        </w:rPr>
        <w:t>phthiriasis</w:t>
      </w:r>
      <w:proofErr w:type="spellEnd"/>
      <w:r w:rsidR="003C7D52"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</w:t>
      </w:r>
      <w:proofErr w:type="spellStart"/>
      <w:r w:rsidR="003C7D52" w:rsidRPr="006B20AB">
        <w:rPr>
          <w:rFonts w:ascii="Times" w:hAnsi="Times" w:cs="Times New Roman"/>
          <w:color w:val="000000" w:themeColor="text1"/>
          <w:sz w:val="20"/>
          <w:szCs w:val="20"/>
        </w:rPr>
        <w:t>palpebrum</w:t>
      </w:r>
      <w:proofErr w:type="spellEnd"/>
      <w:r w:rsidR="003C7D52"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. </w:t>
      </w:r>
      <w:proofErr w:type="spellStart"/>
      <w:r w:rsidR="003C7D52" w:rsidRPr="006B20AB">
        <w:rPr>
          <w:rFonts w:ascii="Times" w:hAnsi="Times" w:cs="Times New Roman"/>
          <w:color w:val="000000" w:themeColor="text1"/>
          <w:sz w:val="20"/>
          <w:szCs w:val="20"/>
        </w:rPr>
        <w:t>Arch</w:t>
      </w:r>
      <w:proofErr w:type="spellEnd"/>
      <w:r w:rsidR="003C7D52"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</w:t>
      </w:r>
      <w:proofErr w:type="spellStart"/>
      <w:r w:rsidR="003C7D52" w:rsidRPr="006B20AB">
        <w:rPr>
          <w:rFonts w:ascii="Times" w:hAnsi="Times" w:cs="Times New Roman"/>
          <w:color w:val="000000" w:themeColor="text1"/>
          <w:sz w:val="20"/>
          <w:szCs w:val="20"/>
        </w:rPr>
        <w:t>Ophtalmol</w:t>
      </w:r>
      <w:proofErr w:type="spellEnd"/>
      <w:r w:rsidR="003C7D52"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2000 ; 118 : 134-5.</w:t>
      </w:r>
    </w:p>
    <w:p w14:paraId="65AEC065" w14:textId="2E7448CC" w:rsidR="003C7D52" w:rsidRPr="006B20AB" w:rsidRDefault="003C7D52" w:rsidP="003C7D52">
      <w:pPr>
        <w:pStyle w:val="ListParagraph"/>
        <w:numPr>
          <w:ilvl w:val="0"/>
          <w:numId w:val="1"/>
        </w:numPr>
        <w:spacing w:line="480" w:lineRule="auto"/>
        <w:rPr>
          <w:rFonts w:ascii="Times" w:hAnsi="Times" w:cs="Times New Roman"/>
          <w:color w:val="000000" w:themeColor="text1"/>
          <w:sz w:val="20"/>
          <w:szCs w:val="20"/>
        </w:rPr>
      </w:pP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Kumar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N, Dong B, Jenkins C. Public lice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effectively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treated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with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Pilogel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.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Eye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(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lond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>) 2003 ; 17 : 538-9.</w:t>
      </w:r>
    </w:p>
    <w:p w14:paraId="7C17DBC6" w14:textId="3E198BC8" w:rsidR="003C7D52" w:rsidRPr="006B20AB" w:rsidRDefault="003C7D52" w:rsidP="003C7D52">
      <w:pPr>
        <w:pStyle w:val="ListParagraph"/>
        <w:numPr>
          <w:ilvl w:val="0"/>
          <w:numId w:val="1"/>
        </w:numPr>
        <w:spacing w:line="480" w:lineRule="auto"/>
        <w:rPr>
          <w:rFonts w:ascii="Times" w:hAnsi="Times" w:cs="Times New Roman"/>
          <w:color w:val="000000" w:themeColor="text1"/>
          <w:sz w:val="20"/>
          <w:szCs w:val="20"/>
        </w:rPr>
      </w:pP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Mathew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M, D’Souza P,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Mehta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DK. A new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treatment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of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phthiriasis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palpebrarum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. Ann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Ophthalmol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1982 ; 14 : 439-41.</w:t>
      </w:r>
    </w:p>
    <w:p w14:paraId="3A572926" w14:textId="7514510B" w:rsidR="003C7D52" w:rsidRPr="006B20AB" w:rsidRDefault="003C7D52" w:rsidP="003C7D52">
      <w:pPr>
        <w:pStyle w:val="ListParagraph"/>
        <w:numPr>
          <w:ilvl w:val="0"/>
          <w:numId w:val="1"/>
        </w:numPr>
        <w:spacing w:line="480" w:lineRule="auto"/>
        <w:rPr>
          <w:rFonts w:ascii="Times" w:hAnsi="Times" w:cs="Times New Roman"/>
          <w:color w:val="000000" w:themeColor="text1"/>
          <w:sz w:val="20"/>
          <w:szCs w:val="20"/>
        </w:rPr>
      </w:pPr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Ashkenazi I,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Desatnik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HR, Abraham FA.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Yellow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mercuric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oxide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: a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treatment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of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choice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for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phthiriasis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palpebrarum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.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Br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J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Ophthalmol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1991 ; 75 : 356-8.</w:t>
      </w:r>
    </w:p>
    <w:p w14:paraId="3CD27823" w14:textId="27760796" w:rsidR="003C7D52" w:rsidRPr="006B20AB" w:rsidRDefault="003C7D52" w:rsidP="003C7D52">
      <w:pPr>
        <w:pStyle w:val="ListParagraph"/>
        <w:numPr>
          <w:ilvl w:val="0"/>
          <w:numId w:val="1"/>
        </w:numPr>
        <w:spacing w:line="480" w:lineRule="auto"/>
        <w:rPr>
          <w:rFonts w:ascii="Times" w:hAnsi="Times" w:cs="Times New Roman"/>
          <w:color w:val="000000" w:themeColor="text1"/>
          <w:sz w:val="20"/>
          <w:szCs w:val="20"/>
        </w:rPr>
      </w:pPr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Klaus S,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Shvil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Y,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Mumcuoglu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KY.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Generalized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infestation of a 3 ½-year-old </w:t>
      </w:r>
      <w:proofErr w:type="gram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girl</w:t>
      </w:r>
      <w:proofErr w:type="gram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with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pubic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louse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.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Pediatr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Dermatol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1994 ; 11 : 26-8.</w:t>
      </w:r>
    </w:p>
    <w:p w14:paraId="7157AEAE" w14:textId="760DD13E" w:rsidR="003C7D52" w:rsidRPr="006B20AB" w:rsidRDefault="003C7D52" w:rsidP="003C7D52">
      <w:pPr>
        <w:pStyle w:val="ListParagraph"/>
        <w:numPr>
          <w:ilvl w:val="0"/>
          <w:numId w:val="1"/>
        </w:numPr>
        <w:spacing w:line="480" w:lineRule="auto"/>
        <w:rPr>
          <w:rFonts w:ascii="Times" w:hAnsi="Times" w:cs="Times New Roman"/>
          <w:color w:val="000000" w:themeColor="text1"/>
          <w:sz w:val="20"/>
          <w:szCs w:val="20"/>
        </w:rPr>
      </w:pP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Kincaid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MC.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Phthirus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pubis infestation of the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lashes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>. JAMA 1983 ; 249 : 590.</w:t>
      </w:r>
    </w:p>
    <w:p w14:paraId="4C18AB2D" w14:textId="0B2129DE" w:rsidR="003C7D52" w:rsidRPr="006B20AB" w:rsidRDefault="003C7D52" w:rsidP="003C7D52">
      <w:pPr>
        <w:pStyle w:val="ListParagraph"/>
        <w:numPr>
          <w:ilvl w:val="0"/>
          <w:numId w:val="1"/>
        </w:numPr>
        <w:spacing w:line="480" w:lineRule="auto"/>
        <w:rPr>
          <w:rFonts w:ascii="Times" w:hAnsi="Times" w:cs="Times New Roman"/>
          <w:color w:val="000000" w:themeColor="text1"/>
          <w:sz w:val="20"/>
          <w:szCs w:val="20"/>
        </w:rPr>
      </w:pP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Rundle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PA, Hughes DS.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Phthirus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pubis infestation of the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eyelids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.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Br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J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Ophthalmol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1993 ; 77 : 815-6.</w:t>
      </w:r>
    </w:p>
    <w:p w14:paraId="31067802" w14:textId="124FE452" w:rsidR="003C7D52" w:rsidRPr="006B20AB" w:rsidRDefault="003C7D52" w:rsidP="003C7D52">
      <w:pPr>
        <w:pStyle w:val="ListParagraph"/>
        <w:numPr>
          <w:ilvl w:val="0"/>
          <w:numId w:val="1"/>
        </w:numPr>
        <w:spacing w:line="480" w:lineRule="auto"/>
        <w:rPr>
          <w:rFonts w:ascii="Times" w:hAnsi="Times" w:cs="Times New Roman"/>
          <w:color w:val="000000" w:themeColor="text1"/>
          <w:sz w:val="20"/>
          <w:szCs w:val="20"/>
        </w:rPr>
      </w:pP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Pe’er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J,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BenEzra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D.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Corneal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damage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following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the use of the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pediculocide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A-200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Pyrinate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.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Arch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Ophthalmol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>. 1988 ; 106 : 16-7.</w:t>
      </w:r>
    </w:p>
    <w:p w14:paraId="6036B99E" w14:textId="1DF6D9E2" w:rsidR="003C7D52" w:rsidRPr="006B20AB" w:rsidRDefault="003C7D52" w:rsidP="003C7D52">
      <w:pPr>
        <w:pStyle w:val="ListParagraph"/>
        <w:numPr>
          <w:ilvl w:val="0"/>
          <w:numId w:val="1"/>
        </w:numPr>
        <w:spacing w:line="480" w:lineRule="auto"/>
        <w:rPr>
          <w:rFonts w:ascii="Times" w:hAnsi="Times" w:cs="Times New Roman"/>
          <w:color w:val="000000" w:themeColor="text1"/>
          <w:sz w:val="20"/>
          <w:szCs w:val="20"/>
        </w:rPr>
      </w:pP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  <w:lang w:val="en-US"/>
        </w:rPr>
        <w:t>Namazi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  <w:lang w:val="en-US"/>
        </w:rPr>
        <w:t xml:space="preserve"> MR. Treatment of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  <w:lang w:val="en-US"/>
        </w:rPr>
        <w:t>pediculosis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  <w:lang w:val="en-US"/>
        </w:rPr>
        <w:t>capitis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  <w:lang w:val="en-US"/>
        </w:rPr>
        <w:t xml:space="preserve"> with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  <w:lang w:val="en-US"/>
        </w:rPr>
        <w:t>thiabendazole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  <w:lang w:val="en-US"/>
        </w:rPr>
        <w:t xml:space="preserve">: a pilot study.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  <w:lang w:val="en-US"/>
        </w:rPr>
        <w:t>Int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  <w:lang w:val="en-US"/>
        </w:rPr>
        <w:t xml:space="preserve"> J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  <w:lang w:val="en-US"/>
        </w:rPr>
        <w:t>Dermatol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  <w:lang w:val="en-US"/>
        </w:rPr>
        <w:t xml:space="preserve"> </w:t>
      </w:r>
      <w:proofErr w:type="gramStart"/>
      <w:r w:rsidRPr="006B20AB">
        <w:rPr>
          <w:rFonts w:ascii="Times" w:hAnsi="Times" w:cs="Times New Roman"/>
          <w:color w:val="000000" w:themeColor="text1"/>
          <w:sz w:val="20"/>
          <w:szCs w:val="20"/>
          <w:lang w:val="en-US"/>
        </w:rPr>
        <w:t>2003 ;</w:t>
      </w:r>
      <w:proofErr w:type="gramEnd"/>
      <w:r w:rsidRPr="006B20AB">
        <w:rPr>
          <w:rFonts w:ascii="Times" w:hAnsi="Times" w:cs="Times New Roman"/>
          <w:color w:val="000000" w:themeColor="text1"/>
          <w:sz w:val="20"/>
          <w:szCs w:val="20"/>
          <w:lang w:val="en-US"/>
        </w:rPr>
        <w:t xml:space="preserve"> 42 : 973-6.</w:t>
      </w:r>
    </w:p>
    <w:p w14:paraId="6088ECF0" w14:textId="22118081" w:rsidR="003C7D52" w:rsidRPr="006B20AB" w:rsidRDefault="003C7D52" w:rsidP="003C7D52">
      <w:pPr>
        <w:pStyle w:val="ListParagraph"/>
        <w:numPr>
          <w:ilvl w:val="0"/>
          <w:numId w:val="1"/>
        </w:numPr>
        <w:spacing w:line="480" w:lineRule="auto"/>
        <w:rPr>
          <w:rFonts w:ascii="Times" w:hAnsi="Times" w:cs="Times New Roman"/>
          <w:color w:val="000000" w:themeColor="text1"/>
          <w:sz w:val="20"/>
          <w:szCs w:val="20"/>
        </w:rPr>
      </w:pPr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Ayoub N,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Merhy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M,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Tomb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R.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Treatment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of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pubic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phthiriasis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with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oral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albendazole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. Ann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Dermatol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Venerol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2008 ; 135 : 602-3.</w:t>
      </w:r>
    </w:p>
    <w:p w14:paraId="7FF68F0C" w14:textId="147BA0B2" w:rsidR="003C7D52" w:rsidRPr="006B20AB" w:rsidRDefault="003C7D52" w:rsidP="003C7D52">
      <w:pPr>
        <w:pStyle w:val="ListParagraph"/>
        <w:numPr>
          <w:ilvl w:val="0"/>
          <w:numId w:val="1"/>
        </w:numPr>
        <w:spacing w:line="480" w:lineRule="auto"/>
        <w:rPr>
          <w:rFonts w:ascii="Times" w:hAnsi="Times" w:cs="Times New Roman"/>
          <w:color w:val="000000" w:themeColor="text1"/>
          <w:sz w:val="20"/>
          <w:szCs w:val="20"/>
        </w:rPr>
      </w:pPr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Dayan AD. Albendazole,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mebendazole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and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praziquantel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.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Review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of non-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clinical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toxicity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 xml:space="preserve"> and </w:t>
      </w:r>
      <w:proofErr w:type="spellStart"/>
      <w:r w:rsidRPr="006B20AB">
        <w:rPr>
          <w:rFonts w:ascii="Times" w:hAnsi="Times" w:cs="Times New Roman"/>
          <w:color w:val="000000" w:themeColor="text1"/>
          <w:sz w:val="20"/>
          <w:szCs w:val="20"/>
        </w:rPr>
        <w:t>pharmacokinetics</w:t>
      </w:r>
      <w:proofErr w:type="spellEnd"/>
      <w:r w:rsidRPr="006B20AB">
        <w:rPr>
          <w:rFonts w:ascii="Times" w:hAnsi="Times" w:cs="Times New Roman"/>
          <w:color w:val="000000" w:themeColor="text1"/>
          <w:sz w:val="20"/>
          <w:szCs w:val="20"/>
        </w:rPr>
        <w:t>. Acta Trop. 2003 ; 86 : 141-59.</w:t>
      </w:r>
    </w:p>
    <w:p w14:paraId="30DAB3B9" w14:textId="77777777" w:rsidR="003C7D52" w:rsidRPr="003C7D52" w:rsidRDefault="003C7D52" w:rsidP="003C7D52">
      <w:pPr>
        <w:spacing w:line="480" w:lineRule="auto"/>
        <w:rPr>
          <w:rFonts w:ascii="Times" w:hAnsi="Times" w:cs="Times New Roman"/>
          <w:b/>
          <w:color w:val="000000" w:themeColor="text1"/>
          <w:sz w:val="24"/>
          <w:szCs w:val="24"/>
          <w:u w:val="single"/>
        </w:rPr>
      </w:pPr>
    </w:p>
    <w:p w14:paraId="512D9D7E" w14:textId="77777777" w:rsidR="003C7D52" w:rsidRPr="003C7D52" w:rsidRDefault="003C7D52" w:rsidP="003C7D52">
      <w:pPr>
        <w:spacing w:line="480" w:lineRule="auto"/>
        <w:rPr>
          <w:rFonts w:ascii="Times" w:hAnsi="Times" w:cs="Times New Roman"/>
          <w:b/>
          <w:color w:val="000000" w:themeColor="text1"/>
          <w:sz w:val="24"/>
          <w:szCs w:val="24"/>
          <w:u w:val="single"/>
        </w:rPr>
      </w:pPr>
    </w:p>
    <w:p w14:paraId="5DFFCA15" w14:textId="77777777" w:rsidR="003C7D52" w:rsidRPr="003C7D52" w:rsidRDefault="003C7D52" w:rsidP="003C7D52">
      <w:pPr>
        <w:spacing w:line="480" w:lineRule="auto"/>
        <w:rPr>
          <w:rFonts w:ascii="Times" w:hAnsi="Times" w:cs="Times New Roman"/>
          <w:b/>
          <w:color w:val="000000" w:themeColor="text1"/>
          <w:sz w:val="24"/>
          <w:szCs w:val="24"/>
          <w:u w:val="single"/>
        </w:rPr>
      </w:pPr>
    </w:p>
    <w:p w14:paraId="5C650EAB" w14:textId="77777777" w:rsidR="00A212C5" w:rsidRDefault="00A212C5" w:rsidP="003C7D52">
      <w:pPr>
        <w:spacing w:line="480" w:lineRule="auto"/>
        <w:rPr>
          <w:rFonts w:ascii="Times" w:hAnsi="Times" w:cs="Times New Roman"/>
          <w:b/>
          <w:color w:val="000000" w:themeColor="text1"/>
          <w:sz w:val="24"/>
          <w:szCs w:val="24"/>
          <w:u w:val="single"/>
        </w:rPr>
      </w:pPr>
    </w:p>
    <w:p w14:paraId="07EADC0B" w14:textId="3B9DD53C" w:rsidR="003C7D52" w:rsidRPr="003C7D52" w:rsidRDefault="006D5CD6" w:rsidP="003C7D52">
      <w:pPr>
        <w:spacing w:line="480" w:lineRule="auto"/>
        <w:rPr>
          <w:rFonts w:ascii="Times" w:hAnsi="Times" w:cs="Times New Roman"/>
          <w:b/>
          <w:color w:val="000000" w:themeColor="text1"/>
          <w:sz w:val="24"/>
          <w:szCs w:val="24"/>
          <w:u w:val="single"/>
        </w:rPr>
      </w:pPr>
      <w:bookmarkStart w:id="0" w:name="_GoBack"/>
      <w:bookmarkEnd w:id="0"/>
      <w:r>
        <w:rPr>
          <w:rFonts w:ascii="Times" w:hAnsi="Times" w:cs="Times New Roman"/>
          <w:b/>
          <w:color w:val="000000" w:themeColor="text1"/>
          <w:sz w:val="24"/>
          <w:szCs w:val="24"/>
          <w:u w:val="single"/>
        </w:rPr>
        <w:lastRenderedPageBreak/>
        <w:t>Figure 1</w:t>
      </w:r>
      <w:r w:rsidR="003C7D52" w:rsidRPr="003C7D52">
        <w:rPr>
          <w:rFonts w:ascii="Times" w:hAnsi="Times" w:cs="Times New Roman"/>
          <w:b/>
          <w:color w:val="000000" w:themeColor="text1"/>
          <w:sz w:val="24"/>
          <w:szCs w:val="24"/>
          <w:u w:val="single"/>
        </w:rPr>
        <w:t>:</w:t>
      </w:r>
    </w:p>
    <w:p w14:paraId="580857AE" w14:textId="77777777" w:rsidR="003C7D52" w:rsidRPr="003C7D52" w:rsidRDefault="003C7D52" w:rsidP="003C7D52">
      <w:pPr>
        <w:spacing w:line="480" w:lineRule="auto"/>
        <w:rPr>
          <w:rFonts w:ascii="Times" w:hAnsi="Times" w:cs="Times New Roman"/>
          <w:b/>
          <w:color w:val="000000" w:themeColor="text1"/>
          <w:sz w:val="24"/>
          <w:szCs w:val="24"/>
          <w:u w:val="single"/>
        </w:rPr>
      </w:pPr>
      <w:r w:rsidRPr="003C7D52">
        <w:rPr>
          <w:rFonts w:ascii="Times" w:hAnsi="Times" w:cs="Times New Roman"/>
          <w:b/>
          <w:noProof/>
          <w:color w:val="000000" w:themeColor="text1"/>
          <w:sz w:val="24"/>
          <w:szCs w:val="24"/>
          <w:u w:val="single"/>
          <w:lang w:val="en-US"/>
        </w:rPr>
        <w:drawing>
          <wp:inline distT="0" distB="0" distL="0" distR="0" wp14:anchorId="41A3EC94" wp14:editId="48B7B239">
            <wp:extent cx="3766820" cy="282511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1206_113810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6820" cy="282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88534" w14:textId="6F1D630A" w:rsidR="003C7D52" w:rsidRPr="003C7D52" w:rsidRDefault="006D5CD6" w:rsidP="003C7D52">
      <w:pPr>
        <w:spacing w:line="480" w:lineRule="auto"/>
        <w:rPr>
          <w:rFonts w:ascii="Times" w:hAnsi="Times" w:cs="Times New Roman"/>
          <w:color w:val="000000" w:themeColor="text1"/>
          <w:sz w:val="24"/>
          <w:szCs w:val="24"/>
        </w:rPr>
      </w:pPr>
      <w:r>
        <w:rPr>
          <w:rFonts w:ascii="Times" w:hAnsi="Times" w:cs="Times New Roman"/>
          <w:color w:val="000000" w:themeColor="text1"/>
          <w:sz w:val="24"/>
          <w:szCs w:val="24"/>
        </w:rPr>
        <w:t>Figure 1</w:t>
      </w:r>
      <w:r w:rsidR="003C7D52" w:rsidRPr="003C7D52">
        <w:rPr>
          <w:rFonts w:ascii="Times" w:hAnsi="Times" w:cs="Times New Roman"/>
          <w:color w:val="000000" w:themeColor="text1"/>
          <w:sz w:val="24"/>
          <w:szCs w:val="24"/>
        </w:rPr>
        <w:t xml:space="preserve">: </w:t>
      </w:r>
      <w:r>
        <w:rPr>
          <w:rFonts w:ascii="Times" w:hAnsi="Times" w:cs="Arial"/>
          <w:color w:val="000000" w:themeColor="text1"/>
          <w:sz w:val="24"/>
          <w:szCs w:val="24"/>
          <w:lang w:val="en"/>
        </w:rPr>
        <w:t>B</w:t>
      </w:r>
      <w:r w:rsidR="00B0559A"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rownish crusts at the base of the eyelashes, associated with lice and nits</w:t>
      </w:r>
    </w:p>
    <w:p w14:paraId="6EBAF14E" w14:textId="57E8B8A8" w:rsidR="003C7D52" w:rsidRPr="003C7D52" w:rsidRDefault="006D5CD6" w:rsidP="003C7D52">
      <w:pPr>
        <w:spacing w:line="480" w:lineRule="auto"/>
        <w:rPr>
          <w:rFonts w:ascii="Times" w:hAnsi="Times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" w:hAnsi="Times" w:cs="Times New Roman"/>
          <w:b/>
          <w:color w:val="000000" w:themeColor="text1"/>
          <w:sz w:val="24"/>
          <w:szCs w:val="24"/>
          <w:u w:val="single"/>
        </w:rPr>
        <w:t>Figure 2</w:t>
      </w:r>
      <w:r w:rsidR="003C7D52" w:rsidRPr="003C7D52">
        <w:rPr>
          <w:rFonts w:ascii="Times" w:hAnsi="Times" w:cs="Times New Roman"/>
          <w:b/>
          <w:color w:val="000000" w:themeColor="text1"/>
          <w:sz w:val="24"/>
          <w:szCs w:val="24"/>
          <w:u w:val="single"/>
        </w:rPr>
        <w:t>:</w:t>
      </w:r>
    </w:p>
    <w:p w14:paraId="14C8403D" w14:textId="77777777" w:rsidR="003C7D52" w:rsidRPr="003C7D52" w:rsidRDefault="003C7D52" w:rsidP="003C7D52">
      <w:pPr>
        <w:spacing w:line="480" w:lineRule="auto"/>
        <w:rPr>
          <w:rFonts w:ascii="Times" w:hAnsi="Times" w:cs="Times New Roman"/>
          <w:color w:val="000000" w:themeColor="text1"/>
          <w:sz w:val="24"/>
          <w:szCs w:val="24"/>
        </w:rPr>
      </w:pPr>
      <w:r w:rsidRPr="003C7D52">
        <w:rPr>
          <w:rFonts w:ascii="Times" w:hAnsi="Times" w:cs="Times New Roman"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4A3D00FC" wp14:editId="215B99F1">
            <wp:extent cx="3995420" cy="2128644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for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5759" cy="21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52439" w14:textId="2AED3027" w:rsidR="003C7D52" w:rsidRPr="003C7D52" w:rsidRDefault="006D5CD6" w:rsidP="003C7D52">
      <w:pPr>
        <w:spacing w:line="480" w:lineRule="auto"/>
        <w:rPr>
          <w:rFonts w:ascii="Times" w:hAnsi="Times" w:cs="Times New Roman"/>
          <w:color w:val="000000" w:themeColor="text1"/>
          <w:sz w:val="24"/>
          <w:szCs w:val="24"/>
        </w:rPr>
      </w:pPr>
      <w:r>
        <w:rPr>
          <w:rFonts w:ascii="Times" w:hAnsi="Times" w:cs="Times New Roman"/>
          <w:color w:val="000000" w:themeColor="text1"/>
          <w:sz w:val="24"/>
          <w:szCs w:val="24"/>
        </w:rPr>
        <w:t>Figure 2</w:t>
      </w:r>
      <w:r w:rsidR="003C7D52" w:rsidRPr="003C7D52">
        <w:rPr>
          <w:rFonts w:ascii="Times" w:hAnsi="Times" w:cs="Times New Roman"/>
          <w:color w:val="000000" w:themeColor="text1"/>
          <w:sz w:val="24"/>
          <w:szCs w:val="24"/>
        </w:rPr>
        <w:t xml:space="preserve">: </w:t>
      </w:r>
      <w:r>
        <w:rPr>
          <w:rFonts w:ascii="Times" w:hAnsi="Times" w:cs="Arial"/>
          <w:color w:val="000000" w:themeColor="text1"/>
          <w:sz w:val="24"/>
          <w:szCs w:val="24"/>
          <w:lang w:val="en"/>
        </w:rPr>
        <w:t>B</w:t>
      </w:r>
      <w:r w:rsidRPr="003C7D52">
        <w:rPr>
          <w:rFonts w:ascii="Times" w:hAnsi="Times" w:cs="Arial"/>
          <w:color w:val="000000" w:themeColor="text1"/>
          <w:sz w:val="24"/>
          <w:szCs w:val="24"/>
          <w:lang w:val="en"/>
        </w:rPr>
        <w:t>rownish crusts at the base of the eyelashes, associated with lice and nits</w:t>
      </w:r>
    </w:p>
    <w:p w14:paraId="1A5B842A" w14:textId="77777777" w:rsidR="003C7D52" w:rsidRPr="003C7D52" w:rsidRDefault="003C7D52" w:rsidP="003C7D52">
      <w:pPr>
        <w:spacing w:line="480" w:lineRule="auto"/>
        <w:rPr>
          <w:rFonts w:ascii="Times" w:hAnsi="Times" w:cs="Times New Roman"/>
          <w:color w:val="000000" w:themeColor="text1"/>
          <w:sz w:val="24"/>
          <w:szCs w:val="24"/>
        </w:rPr>
      </w:pPr>
    </w:p>
    <w:p w14:paraId="43E9F07C" w14:textId="77777777" w:rsidR="003C7D52" w:rsidRPr="003C7D52" w:rsidRDefault="003C7D52" w:rsidP="003C7D52">
      <w:pPr>
        <w:spacing w:line="480" w:lineRule="auto"/>
        <w:rPr>
          <w:rFonts w:ascii="Times" w:hAnsi="Times" w:cs="Times New Roman"/>
          <w:color w:val="000000" w:themeColor="text1"/>
          <w:sz w:val="24"/>
          <w:szCs w:val="24"/>
        </w:rPr>
      </w:pPr>
    </w:p>
    <w:p w14:paraId="7D43591F" w14:textId="77777777" w:rsidR="006D5CD6" w:rsidRDefault="006D5CD6" w:rsidP="003C7D52">
      <w:pPr>
        <w:spacing w:line="480" w:lineRule="auto"/>
        <w:rPr>
          <w:rFonts w:ascii="Times" w:hAnsi="Times" w:cs="Times New Roman"/>
          <w:b/>
          <w:color w:val="000000" w:themeColor="text1"/>
          <w:sz w:val="24"/>
          <w:szCs w:val="24"/>
          <w:u w:val="single"/>
        </w:rPr>
      </w:pPr>
    </w:p>
    <w:p w14:paraId="00BBABDA" w14:textId="48E02C39" w:rsidR="003C7D52" w:rsidRPr="003C7D52" w:rsidRDefault="006D5CD6" w:rsidP="003C7D52">
      <w:pPr>
        <w:spacing w:line="480" w:lineRule="auto"/>
        <w:rPr>
          <w:rFonts w:ascii="Times" w:hAnsi="Times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" w:hAnsi="Times" w:cs="Times New Roman"/>
          <w:b/>
          <w:color w:val="000000" w:themeColor="text1"/>
          <w:sz w:val="24"/>
          <w:szCs w:val="24"/>
          <w:u w:val="single"/>
        </w:rPr>
        <w:lastRenderedPageBreak/>
        <w:t>Figure 3</w:t>
      </w:r>
      <w:r w:rsidR="003C7D52" w:rsidRPr="003C7D52">
        <w:rPr>
          <w:rFonts w:ascii="Times" w:hAnsi="Times" w:cs="Times New Roman"/>
          <w:b/>
          <w:color w:val="000000" w:themeColor="text1"/>
          <w:sz w:val="24"/>
          <w:szCs w:val="24"/>
          <w:u w:val="single"/>
        </w:rPr>
        <w:t>:</w:t>
      </w:r>
    </w:p>
    <w:p w14:paraId="3ABC85C4" w14:textId="77777777" w:rsidR="003C7D52" w:rsidRPr="003C7D52" w:rsidRDefault="003C7D52" w:rsidP="003C7D52">
      <w:pPr>
        <w:spacing w:line="480" w:lineRule="auto"/>
        <w:rPr>
          <w:rFonts w:ascii="Times" w:hAnsi="Times" w:cs="Times New Roman"/>
          <w:color w:val="000000" w:themeColor="text1"/>
          <w:sz w:val="24"/>
          <w:szCs w:val="24"/>
        </w:rPr>
      </w:pPr>
      <w:r w:rsidRPr="003C7D52">
        <w:rPr>
          <w:rFonts w:ascii="Times" w:hAnsi="Times" w:cs="Times New Roman"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522D7696" wp14:editId="352B2FA3">
            <wp:extent cx="4457700" cy="2135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ter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54" cy="2135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47330" w14:textId="0ED18ABA" w:rsidR="003C7D52" w:rsidRPr="006D5CD6" w:rsidRDefault="006D5CD6" w:rsidP="003C7D52">
      <w:pPr>
        <w:spacing w:line="480" w:lineRule="auto"/>
        <w:rPr>
          <w:rFonts w:ascii="Times" w:hAnsi="Times" w:cs="Times New Roman"/>
          <w:color w:val="000000" w:themeColor="text1"/>
          <w:sz w:val="24"/>
          <w:szCs w:val="24"/>
          <w:lang w:val="en-US"/>
        </w:rPr>
      </w:pPr>
      <w:r>
        <w:rPr>
          <w:rFonts w:ascii="Times" w:hAnsi="Times" w:cs="Times New Roman"/>
          <w:color w:val="000000" w:themeColor="text1"/>
          <w:sz w:val="24"/>
          <w:szCs w:val="24"/>
          <w:lang w:val="en-US"/>
        </w:rPr>
        <w:t>Figure 3</w:t>
      </w:r>
      <w:r w:rsidR="003C7D52" w:rsidRPr="006D5CD6">
        <w:rPr>
          <w:rFonts w:ascii="Times" w:hAnsi="Times" w:cs="Times New Roman"/>
          <w:color w:val="000000" w:themeColor="text1"/>
          <w:sz w:val="24"/>
          <w:szCs w:val="24"/>
          <w:lang w:val="en-US"/>
        </w:rPr>
        <w:t xml:space="preserve">: </w:t>
      </w:r>
      <w:r w:rsidRPr="006D5CD6">
        <w:rPr>
          <w:rFonts w:ascii="Times" w:hAnsi="Times" w:cs="Times New Roman"/>
          <w:color w:val="000000" w:themeColor="text1"/>
          <w:sz w:val="24"/>
          <w:szCs w:val="24"/>
          <w:lang w:val="en-US"/>
        </w:rPr>
        <w:t>Com</w:t>
      </w:r>
      <w:r>
        <w:rPr>
          <w:rFonts w:ascii="Times" w:hAnsi="Times" w:cs="Times New Roman"/>
          <w:color w:val="000000" w:themeColor="text1"/>
          <w:sz w:val="24"/>
          <w:szCs w:val="24"/>
          <w:lang w:val="en-US"/>
        </w:rPr>
        <w:t>p</w:t>
      </w:r>
      <w:r w:rsidRPr="006D5CD6">
        <w:rPr>
          <w:rFonts w:ascii="Times" w:hAnsi="Times" w:cs="Times New Roman"/>
          <w:color w:val="000000" w:themeColor="text1"/>
          <w:sz w:val="24"/>
          <w:szCs w:val="24"/>
          <w:lang w:val="en-US"/>
        </w:rPr>
        <w:t>lete resolution of clinical signs and symptoms</w:t>
      </w:r>
      <w:r w:rsidR="003C7D52" w:rsidRPr="006D5CD6">
        <w:rPr>
          <w:rFonts w:ascii="Times" w:hAnsi="Times" w:cs="Times New Roman"/>
          <w:color w:val="000000" w:themeColor="text1"/>
          <w:sz w:val="24"/>
          <w:szCs w:val="24"/>
          <w:lang w:val="en-US"/>
        </w:rPr>
        <w:t>.</w:t>
      </w:r>
    </w:p>
    <w:p w14:paraId="3560009D" w14:textId="77777777" w:rsidR="003C7D52" w:rsidRPr="00C453AD" w:rsidRDefault="003C7D52" w:rsidP="00B96267">
      <w:pPr>
        <w:spacing w:line="240" w:lineRule="auto"/>
        <w:rPr>
          <w:rFonts w:ascii="Times" w:hAnsi="Times" w:cs="Arial"/>
          <w:color w:val="000000" w:themeColor="text1"/>
          <w:sz w:val="24"/>
          <w:szCs w:val="24"/>
          <w:lang w:val="en"/>
        </w:rPr>
      </w:pPr>
    </w:p>
    <w:sectPr w:rsidR="003C7D52" w:rsidRPr="00C453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Roboto-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423626"/>
    <w:multiLevelType w:val="hybridMultilevel"/>
    <w:tmpl w:val="F7AE72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320"/>
    <w:rsid w:val="001F2862"/>
    <w:rsid w:val="00216450"/>
    <w:rsid w:val="003C7D52"/>
    <w:rsid w:val="004F6791"/>
    <w:rsid w:val="006B20AB"/>
    <w:rsid w:val="006D5CD6"/>
    <w:rsid w:val="00717525"/>
    <w:rsid w:val="008C4CBD"/>
    <w:rsid w:val="00942C9F"/>
    <w:rsid w:val="00A212C5"/>
    <w:rsid w:val="00A81005"/>
    <w:rsid w:val="00AB7320"/>
    <w:rsid w:val="00B0559A"/>
    <w:rsid w:val="00B24C4F"/>
    <w:rsid w:val="00B54CA5"/>
    <w:rsid w:val="00B96267"/>
    <w:rsid w:val="00C453AD"/>
    <w:rsid w:val="00E93E19"/>
    <w:rsid w:val="00FE12C3"/>
    <w:rsid w:val="00FF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65E1B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42C9F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3C7D52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D5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D5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42C9F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3C7D52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D5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D5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08574-8DC6-4840-A8DB-880777E70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661</Words>
  <Characters>3773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Etudiant</dc:creator>
  <cp:lastModifiedBy>User</cp:lastModifiedBy>
  <cp:revision>13</cp:revision>
  <dcterms:created xsi:type="dcterms:W3CDTF">2017-02-27T15:17:00Z</dcterms:created>
  <dcterms:modified xsi:type="dcterms:W3CDTF">2017-03-09T22:49:00Z</dcterms:modified>
</cp:coreProperties>
</file>