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16C05" w14:textId="77777777" w:rsidR="00362FE3" w:rsidRDefault="00362FE3" w:rsidP="00362FE3">
      <w:pPr>
        <w:pStyle w:val="Heading1"/>
        <w:spacing w:line="360" w:lineRule="auto"/>
        <w:rPr>
          <w:rFonts w:cstheme="majorHAnsi"/>
          <w:sz w:val="40"/>
          <w:szCs w:val="40"/>
          <w:lang w:val="en-US"/>
        </w:rPr>
      </w:pPr>
      <w:bookmarkStart w:id="0" w:name="_Toc19641388"/>
      <w:r>
        <w:rPr>
          <w:rFonts w:cstheme="majorHAnsi"/>
          <w:sz w:val="40"/>
          <w:szCs w:val="40"/>
          <w:lang w:val="en-US"/>
        </w:rPr>
        <w:t>abstract</w:t>
      </w:r>
      <w:bookmarkEnd w:id="0"/>
    </w:p>
    <w:p w14:paraId="10B9A58E" w14:textId="77777777" w:rsidR="00362FE3" w:rsidRDefault="00362FE3" w:rsidP="00362FE3">
      <w:pPr>
        <w:spacing w:line="240" w:lineRule="auto"/>
        <w:jc w:val="both"/>
        <w:rPr>
          <w:lang w:val="en-US"/>
        </w:rPr>
      </w:pPr>
      <w:r>
        <w:rPr>
          <w:lang w:val="en-US"/>
        </w:rPr>
        <w:t>Nodular prurigo is a rare, intractable chronic skin disease, characterized by intensely pruritic nodules. Its aetiology is still under debate; however, it is theorized that multifactorial pruritic-related aetiologies are deemed as the most probable factors that lead to the vicious itch-scratch cycle.  It can occur in any age group and race; however, elderly and African-descendents are in the higher risk. Owing to its hallmark’s symptoms and signs, nodular prurigo can greatly affect one’s physical and mental well-being.</w:t>
      </w:r>
    </w:p>
    <w:p w14:paraId="3D10F2BB" w14:textId="77777777" w:rsidR="00362FE3" w:rsidRDefault="00362FE3" w:rsidP="00362FE3">
      <w:pPr>
        <w:spacing w:line="240" w:lineRule="auto"/>
        <w:jc w:val="both"/>
        <w:rPr>
          <w:lang w:val="en-US"/>
        </w:rPr>
      </w:pPr>
      <w:r>
        <w:rPr>
          <w:lang w:val="en-US"/>
        </w:rPr>
        <w:t xml:space="preserve">Various diseases have been linked to nodular prurigo, either dermatological or non-dermatological conditions, with atopic dermatitis being most frequently linked disease with the incidence of nodular prurigo. In fact, 80% of individuals with nodular prurigo may have a history of atopic dermatitis. The precise pathogenesis of nodular prurigo is still unclear. However, innate and adaptive immune cascades with neuronal sensitization are postulated to orchestrate the journey to nodular prurigo. Additionally, many itch-related immune complexes and pathways that have been found in atopic dermatitis are also found in nodular prurigo. </w:t>
      </w:r>
    </w:p>
    <w:p w14:paraId="4E3CC7F9" w14:textId="77777777" w:rsidR="00362FE3" w:rsidRDefault="00362FE3" w:rsidP="00362FE3">
      <w:pPr>
        <w:spacing w:line="240" w:lineRule="auto"/>
        <w:jc w:val="both"/>
        <w:rPr>
          <w:lang w:val="en-US"/>
        </w:rPr>
      </w:pPr>
      <w:r>
        <w:rPr>
          <w:lang w:val="en-US"/>
        </w:rPr>
        <w:t>Dupilumab</w:t>
      </w:r>
      <w:r w:rsidRPr="008D577B">
        <w:rPr>
          <w:lang w:val="en-US"/>
        </w:rPr>
        <w:t xml:space="preserve"> is a fully human IgG4 monoclonal antibody that </w:t>
      </w:r>
      <w:r>
        <w:rPr>
          <w:lang w:val="en-US"/>
        </w:rPr>
        <w:t>targets</w:t>
      </w:r>
      <w:r w:rsidRPr="008D577B">
        <w:rPr>
          <w:lang w:val="en-US"/>
        </w:rPr>
        <w:t xml:space="preserve"> the IL4 receptor α subunit</w:t>
      </w:r>
      <w:r>
        <w:rPr>
          <w:lang w:val="en-US"/>
        </w:rPr>
        <w:t xml:space="preserve"> to </w:t>
      </w:r>
      <w:r w:rsidRPr="008D577B">
        <w:rPr>
          <w:lang w:val="en-US"/>
        </w:rPr>
        <w:t>inhibit the signaling of both Th2 cytokines: IL-4 and IL-13</w:t>
      </w:r>
      <w:r>
        <w:rPr>
          <w:lang w:val="en-US"/>
        </w:rPr>
        <w:t>. The two cytokines: IL4 and IL13 are implicated in the immunopathology of nodular prurigo. Dupilumab has been established as a successor biologic treatment options in treating atopic dermatitis. Several case series may have shown a successful outcome in treating nodular prurigo with dupilumab, however, efficacy has not been xxx by RCT.</w:t>
      </w:r>
    </w:p>
    <w:p w14:paraId="0CD085B5" w14:textId="77777777" w:rsidR="00362FE3" w:rsidRPr="008D577B" w:rsidRDefault="00362FE3" w:rsidP="00362FE3">
      <w:pPr>
        <w:spacing w:line="240" w:lineRule="auto"/>
        <w:jc w:val="both"/>
        <w:rPr>
          <w:rFonts w:cstheme="majorHAnsi"/>
          <w:lang w:val="en-US"/>
        </w:rPr>
      </w:pPr>
      <w:r>
        <w:rPr>
          <w:lang w:val="en-US"/>
        </w:rPr>
        <w:t xml:space="preserve">This study proposes a </w:t>
      </w:r>
      <w:r w:rsidRPr="00D42160">
        <w:rPr>
          <w:rFonts w:cstheme="majorHAnsi"/>
          <w:lang w:val="en-US"/>
        </w:rPr>
        <w:t>multi-centered, prospective, phase 3</w:t>
      </w:r>
      <w:r>
        <w:rPr>
          <w:rFonts w:cstheme="majorHAnsi"/>
          <w:lang w:val="en-US"/>
        </w:rPr>
        <w:t>,</w:t>
      </w:r>
      <w:r w:rsidRPr="00D42160">
        <w:rPr>
          <w:rFonts w:cstheme="majorHAnsi"/>
          <w:lang w:val="en-US"/>
        </w:rPr>
        <w:t xml:space="preserve"> </w:t>
      </w:r>
      <w:proofErr w:type="gramStart"/>
      <w:r>
        <w:rPr>
          <w:rFonts w:cstheme="majorHAnsi"/>
          <w:lang w:val="en-US"/>
        </w:rPr>
        <w:t>open-label</w:t>
      </w:r>
      <w:proofErr w:type="gramEnd"/>
      <w:r>
        <w:rPr>
          <w:rFonts w:cstheme="majorHAnsi"/>
          <w:lang w:val="en-US"/>
        </w:rPr>
        <w:t xml:space="preserve">, </w:t>
      </w:r>
      <w:r w:rsidRPr="00D42160">
        <w:rPr>
          <w:rFonts w:cstheme="majorHAnsi"/>
          <w:lang w:val="en-US"/>
        </w:rPr>
        <w:t>randomi</w:t>
      </w:r>
      <w:r>
        <w:rPr>
          <w:rFonts w:cstheme="majorHAnsi"/>
          <w:lang w:val="en-US"/>
        </w:rPr>
        <w:t>s</w:t>
      </w:r>
      <w:r w:rsidRPr="00D42160">
        <w:rPr>
          <w:rFonts w:cstheme="majorHAnsi"/>
          <w:lang w:val="en-US"/>
        </w:rPr>
        <w:t xml:space="preserve">ed controlled crossover trial of </w:t>
      </w:r>
      <w:r>
        <w:rPr>
          <w:rFonts w:cstheme="majorHAnsi"/>
          <w:lang w:val="en-US"/>
        </w:rPr>
        <w:t>d</w:t>
      </w:r>
      <w:r w:rsidRPr="00D42160">
        <w:rPr>
          <w:rFonts w:cstheme="majorHAnsi"/>
          <w:lang w:val="en-US"/>
        </w:rPr>
        <w:t xml:space="preserve">upilumab in recalcitrant </w:t>
      </w:r>
      <w:r>
        <w:rPr>
          <w:rFonts w:cstheme="majorHAnsi"/>
          <w:lang w:val="en-US"/>
        </w:rPr>
        <w:t>n</w:t>
      </w:r>
      <w:r w:rsidRPr="00D42160">
        <w:rPr>
          <w:rFonts w:cstheme="majorHAnsi"/>
          <w:lang w:val="en-US"/>
        </w:rPr>
        <w:t>odular prurigo in patients with prior fail</w:t>
      </w:r>
      <w:r>
        <w:rPr>
          <w:rFonts w:cstheme="majorHAnsi"/>
          <w:lang w:val="en-US"/>
        </w:rPr>
        <w:t>ure of</w:t>
      </w:r>
      <w:r w:rsidRPr="00D42160">
        <w:rPr>
          <w:rFonts w:cstheme="majorHAnsi"/>
          <w:lang w:val="en-US"/>
        </w:rPr>
        <w:t xml:space="preserve"> one systemic therapy.</w:t>
      </w:r>
      <w:r>
        <w:rPr>
          <w:rFonts w:cstheme="majorHAnsi"/>
          <w:lang w:val="en-US"/>
        </w:rPr>
        <w:t xml:space="preserve"> This study aims to </w:t>
      </w:r>
      <w:r w:rsidRPr="008D577B">
        <w:rPr>
          <w:rFonts w:cstheme="majorHAnsi"/>
          <w:lang w:val="en-US"/>
        </w:rPr>
        <w:t xml:space="preserve">assess the efficacy of dupilumab in </w:t>
      </w:r>
      <w:r>
        <w:rPr>
          <w:rFonts w:cstheme="majorHAnsi"/>
          <w:lang w:val="en-US"/>
        </w:rPr>
        <w:t xml:space="preserve">treating </w:t>
      </w:r>
      <w:r w:rsidRPr="008D577B">
        <w:rPr>
          <w:rFonts w:cstheme="majorHAnsi"/>
          <w:lang w:val="en-US"/>
        </w:rPr>
        <w:t>recalcitrant nodular prurigo patients</w:t>
      </w:r>
      <w:r>
        <w:rPr>
          <w:rFonts w:cstheme="majorHAnsi"/>
          <w:lang w:val="en-US"/>
        </w:rPr>
        <w:t xml:space="preserve"> and also assess the non-pharmacological aspect of the effect of dupilumab such as the quality of life and psychiatric comorbidities of the patients after intervention. Furthermore, the study will determine whether dupilumab is equally efficacious in patients with and without co-existent atopic dermatitis. It is expected that dupilumab will give same level of efficacy in patients who have and do not have a history of atopic dermatitis.</w:t>
      </w:r>
    </w:p>
    <w:p w14:paraId="57A8AC9B" w14:textId="77777777" w:rsidR="008C1089" w:rsidRDefault="00362FE3">
      <w:bookmarkStart w:id="1" w:name="_GoBack"/>
      <w:bookmarkEnd w:id="1"/>
    </w:p>
    <w:sectPr w:rsidR="008C1089" w:rsidSect="0010513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E3"/>
    <w:rsid w:val="00105137"/>
    <w:rsid w:val="00362FE3"/>
    <w:rsid w:val="00832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79D484"/>
  <w15:chartTrackingRefBased/>
  <w15:docId w15:val="{4490DAC3-4533-9646-AB4A-92CE372C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FE3"/>
    <w:pPr>
      <w:spacing w:after="200" w:line="252" w:lineRule="auto"/>
    </w:pPr>
    <w:rPr>
      <w:rFonts w:asciiTheme="majorHAnsi" w:eastAsiaTheme="majorEastAsia" w:hAnsiTheme="majorHAnsi" w:cstheme="majorBidi"/>
      <w:sz w:val="22"/>
      <w:szCs w:val="22"/>
      <w:lang w:val="en-ID"/>
    </w:rPr>
  </w:style>
  <w:style w:type="paragraph" w:styleId="Heading1">
    <w:name w:val="heading 1"/>
    <w:basedOn w:val="Normal"/>
    <w:next w:val="Normal"/>
    <w:link w:val="Heading1Char"/>
    <w:uiPriority w:val="9"/>
    <w:qFormat/>
    <w:rsid w:val="00362FE3"/>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FE3"/>
    <w:rPr>
      <w:rFonts w:asciiTheme="majorHAnsi" w:eastAsiaTheme="majorEastAsia" w:hAnsiTheme="majorHAnsi" w:cstheme="majorBidi"/>
      <w:caps/>
      <w:color w:val="833C0B" w:themeColor="accent2" w:themeShade="80"/>
      <w:spacing w:val="20"/>
      <w:sz w:val="28"/>
      <w:szCs w:val="28"/>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Kosasih</dc:creator>
  <cp:keywords/>
  <dc:description/>
  <cp:lastModifiedBy>Laura Kosasih</cp:lastModifiedBy>
  <cp:revision>1</cp:revision>
  <dcterms:created xsi:type="dcterms:W3CDTF">2019-12-22T19:14:00Z</dcterms:created>
  <dcterms:modified xsi:type="dcterms:W3CDTF">2019-12-22T19:14:00Z</dcterms:modified>
</cp:coreProperties>
</file>