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454" w:rsidRPr="00DE0E4A" w:rsidRDefault="00194454" w:rsidP="0019445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  <w:r w:rsidRPr="00DE0E4A">
        <w:rPr>
          <w:rFonts w:ascii="Times-Bold" w:hAnsi="Times-Bold" w:cs="Times-Bold"/>
          <w:b/>
          <w:bCs/>
          <w:sz w:val="36"/>
          <w:szCs w:val="36"/>
        </w:rPr>
        <w:t>EVALUATION OF PLATELET-RICH FIBRIN</w:t>
      </w:r>
    </w:p>
    <w:p w:rsidR="00194454" w:rsidRPr="00DE0E4A" w:rsidRDefault="00194454" w:rsidP="0019445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36"/>
          <w:szCs w:val="36"/>
        </w:rPr>
      </w:pPr>
      <w:r w:rsidRPr="00DE0E4A">
        <w:rPr>
          <w:rFonts w:ascii="Times-Bold" w:hAnsi="Times-Bold" w:cs="Times-Bold"/>
          <w:b/>
          <w:bCs/>
          <w:sz w:val="36"/>
          <w:szCs w:val="36"/>
        </w:rPr>
        <w:t>IN OSTEOTOME SINUS FLOOR ELEVATION WITH SIMULTANEOUS IMPLANT PLACEMENT</w:t>
      </w:r>
    </w:p>
    <w:p w:rsidR="00194454" w:rsidRPr="00DE0E4A" w:rsidRDefault="00194454" w:rsidP="00DE0E4A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-BoldItalic" w:hAnsi="Times-BoldItalic" w:cs="Times-BoldItalic"/>
          <w:b/>
          <w:bCs/>
          <w:i/>
          <w:iCs/>
          <w:sz w:val="36"/>
          <w:szCs w:val="36"/>
        </w:rPr>
      </w:pPr>
      <w:r w:rsidRPr="00DE0E4A">
        <w:rPr>
          <w:rFonts w:ascii="Times-BoldItalic" w:hAnsi="Times-BoldItalic" w:cs="Times-BoldItalic"/>
          <w:b/>
          <w:bCs/>
          <w:i/>
          <w:iCs/>
          <w:sz w:val="36"/>
          <w:szCs w:val="36"/>
        </w:rPr>
        <w:t>ABSTRACT</w:t>
      </w:r>
    </w:p>
    <w:p w:rsidR="00194454" w:rsidRPr="00DE0E4A" w:rsidRDefault="00194454" w:rsidP="00194454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Bold" w:cs="Times-Roman"/>
          <w:sz w:val="24"/>
          <w:szCs w:val="24"/>
        </w:rPr>
      </w:pPr>
      <w:r w:rsidRPr="00DE0E4A">
        <w:rPr>
          <w:rFonts w:ascii="Times-Bold" w:hAnsi="Times-Bold" w:cs="Times-Bold"/>
          <w:b/>
          <w:bCs/>
          <w:sz w:val="24"/>
          <w:szCs w:val="24"/>
        </w:rPr>
        <w:t xml:space="preserve">Purpose </w:t>
      </w:r>
      <w:r w:rsidRPr="00DE0E4A">
        <w:rPr>
          <w:rFonts w:ascii="Times-Roman" w:hAnsi="Times-Bold" w:cs="Times-Roman"/>
          <w:sz w:val="24"/>
          <w:szCs w:val="24"/>
        </w:rPr>
        <w:t xml:space="preserve">The aim of this study is to evaluate both clinically and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radiographically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the efficacy of Platelet-Rich Fibrin as a graft material in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osteotome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>-mediated sinus floor elevation technique with simultaneous implant placement.</w:t>
      </w:r>
    </w:p>
    <w:p w:rsidR="00194454" w:rsidRPr="00DE0E4A" w:rsidRDefault="00194454" w:rsidP="00194454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Bold" w:cs="Times-Roman"/>
          <w:sz w:val="24"/>
          <w:szCs w:val="24"/>
        </w:rPr>
      </w:pPr>
      <w:r w:rsidRPr="00DE0E4A">
        <w:rPr>
          <w:rFonts w:ascii="Times-Bold" w:hAnsi="Times-Bold" w:cs="Times-Bold"/>
          <w:b/>
          <w:bCs/>
          <w:sz w:val="24"/>
          <w:szCs w:val="24"/>
        </w:rPr>
        <w:t xml:space="preserve">Materials And Methods </w:t>
      </w:r>
      <w:r w:rsidRPr="00DE0E4A">
        <w:rPr>
          <w:rFonts w:ascii="Times-Roman" w:hAnsi="Times-Bold" w:cs="Times-Roman"/>
          <w:sz w:val="24"/>
          <w:szCs w:val="24"/>
        </w:rPr>
        <w:t xml:space="preserve">Sixteen dental implants were placed simultaneously with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osteotome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sinus floor elevation in the posterior maxillary area and were divided into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groups:Group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(A): Eight dental implants were placed simultaneously with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osteotome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sinus floor elevation using platelet-rich fibrin as a graft material (study group) Group (B): Eight dental implants were placed simultaneously with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osteotome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sinus floor elevation with no graft material depending on the healing properties and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osteogenic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potentiality of the normally formed blood clot (control group).</w:t>
      </w:r>
    </w:p>
    <w:p w:rsidR="00194454" w:rsidRPr="00DE0E4A" w:rsidRDefault="00194454" w:rsidP="00194454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Bold" w:cs="Times-Roman"/>
          <w:sz w:val="24"/>
          <w:szCs w:val="24"/>
        </w:rPr>
      </w:pPr>
      <w:r w:rsidRPr="00DE0E4A">
        <w:rPr>
          <w:rFonts w:ascii="Times-Bold" w:hAnsi="Times-Bold" w:cs="Times-Bold"/>
          <w:b/>
          <w:bCs/>
          <w:sz w:val="24"/>
          <w:szCs w:val="24"/>
        </w:rPr>
        <w:t xml:space="preserve">Results: </w:t>
      </w:r>
      <w:r w:rsidRPr="00DE0E4A">
        <w:rPr>
          <w:rFonts w:ascii="Times-Roman" w:hAnsi="Times-Bold" w:cs="Times-Roman"/>
          <w:sz w:val="24"/>
          <w:szCs w:val="24"/>
        </w:rPr>
        <w:t xml:space="preserve">Overall percent increase in the interval from immediate postoperative to nine months post-operative </w:t>
      </w:r>
      <w:proofErr w:type="gramStart"/>
      <w:r w:rsidRPr="00DE0E4A">
        <w:rPr>
          <w:rFonts w:ascii="Times-Roman" w:hAnsi="Times-Bold" w:cs="Times-Roman"/>
          <w:sz w:val="24"/>
          <w:szCs w:val="24"/>
        </w:rPr>
        <w:t>A</w:t>
      </w:r>
      <w:proofErr w:type="gramEnd"/>
      <w:r w:rsidRPr="00DE0E4A">
        <w:rPr>
          <w:rFonts w:ascii="Times-Roman" w:hAnsi="Times-Bold" w:cs="Times-Roman"/>
          <w:sz w:val="24"/>
          <w:szCs w:val="24"/>
        </w:rPr>
        <w:t xml:space="preserve"> greater mean value of percent increase in bone height was recorded in the study group in both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mesial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and distal sides. The difference was extremely statistically significant.</w:t>
      </w:r>
    </w:p>
    <w:p w:rsidR="00194454" w:rsidRPr="00DE0E4A" w:rsidRDefault="00194454" w:rsidP="00194454">
      <w:pPr>
        <w:autoSpaceDE w:val="0"/>
        <w:autoSpaceDN w:val="0"/>
        <w:bidi w:val="0"/>
        <w:adjustRightInd w:val="0"/>
        <w:spacing w:after="0" w:line="240" w:lineRule="auto"/>
        <w:rPr>
          <w:rFonts w:ascii="Times-Roman" w:hAnsi="Times-Bold" w:cs="Times-Roman"/>
          <w:sz w:val="24"/>
          <w:szCs w:val="24"/>
        </w:rPr>
      </w:pPr>
      <w:r w:rsidRPr="00DE0E4A">
        <w:rPr>
          <w:rFonts w:ascii="Times-Bold" w:hAnsi="Times-Bold" w:cs="Times-Bold"/>
          <w:b/>
          <w:bCs/>
          <w:sz w:val="24"/>
          <w:szCs w:val="24"/>
        </w:rPr>
        <w:t xml:space="preserve">Conclusions </w:t>
      </w:r>
      <w:r w:rsidRPr="00DE0E4A">
        <w:rPr>
          <w:rFonts w:ascii="Times-Roman" w:hAnsi="Times-Bold" w:cs="Times-Roman"/>
          <w:sz w:val="24"/>
          <w:szCs w:val="24"/>
        </w:rPr>
        <w:t xml:space="preserve">The PRF protocol is finally a way to transform natural blood clot into clinically usable bioactive material. The PRF fibrin matrix as a filling biomaterial has produced consistently </w:t>
      </w:r>
      <w:proofErr w:type="spellStart"/>
      <w:r w:rsidRPr="00DE0E4A">
        <w:rPr>
          <w:rFonts w:ascii="Times-Roman" w:hAnsi="Times-Bold" w:cs="Times-Roman"/>
          <w:sz w:val="24"/>
          <w:szCs w:val="24"/>
        </w:rPr>
        <w:t>favourable</w:t>
      </w:r>
      <w:proofErr w:type="spellEnd"/>
      <w:r w:rsidRPr="00DE0E4A">
        <w:rPr>
          <w:rFonts w:ascii="Times-Roman" w:hAnsi="Times-Bold" w:cs="Times-Roman"/>
          <w:sz w:val="24"/>
          <w:szCs w:val="24"/>
        </w:rPr>
        <w:t xml:space="preserve"> clinical results.</w:t>
      </w:r>
    </w:p>
    <w:sectPr w:rsidR="00194454" w:rsidRPr="00DE0E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94454"/>
    <w:rsid w:val="00194454"/>
    <w:rsid w:val="00DE0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EL_DAwlia</dc:creator>
  <cp:keywords/>
  <dc:description/>
  <cp:lastModifiedBy>EL_DAwlia</cp:lastModifiedBy>
  <cp:revision>4</cp:revision>
  <dcterms:created xsi:type="dcterms:W3CDTF">2018-10-31T13:07:00Z</dcterms:created>
  <dcterms:modified xsi:type="dcterms:W3CDTF">2018-10-31T13:09:00Z</dcterms:modified>
</cp:coreProperties>
</file>