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44B" w:rsidRPr="00480BCD" w:rsidRDefault="0067744B" w:rsidP="0067744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480BC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The effect of </w:t>
      </w:r>
      <w:proofErr w:type="spellStart"/>
      <w:r w:rsidRPr="00480BCD">
        <w:rPr>
          <w:rFonts w:ascii="Times New Roman" w:hAnsi="Times New Roman" w:cs="Times New Roman"/>
          <w:b/>
          <w:bCs/>
          <w:sz w:val="24"/>
          <w:szCs w:val="24"/>
          <w:lang w:val="en-GB"/>
        </w:rPr>
        <w:t>remineralization</w:t>
      </w:r>
      <w:proofErr w:type="spellEnd"/>
      <w:r w:rsidRPr="00480BC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pre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-</w:t>
      </w:r>
      <w:r w:rsidRPr="00480BC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treatments on the enamel bond strength of </w:t>
      </w:r>
      <w:proofErr w:type="spellStart"/>
      <w:r w:rsidRPr="00480BCD">
        <w:rPr>
          <w:rFonts w:ascii="Times New Roman" w:hAnsi="Times New Roman" w:cs="Times New Roman"/>
          <w:b/>
          <w:bCs/>
          <w:sz w:val="24"/>
          <w:szCs w:val="24"/>
          <w:lang w:val="en-GB"/>
        </w:rPr>
        <w:t>demineralized</w:t>
      </w:r>
      <w:proofErr w:type="spellEnd"/>
      <w:r w:rsidRPr="00480BC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and sound enamel</w:t>
      </w:r>
    </w:p>
    <w:p w:rsidR="0067744B" w:rsidRDefault="0067744B" w:rsidP="0067744B">
      <w:pPr>
        <w:tabs>
          <w:tab w:val="left" w:pos="0"/>
        </w:tabs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0BCD">
        <w:rPr>
          <w:rFonts w:ascii="Times New Roman" w:hAnsi="Times New Roman" w:cs="Times New Roman"/>
          <w:b/>
          <w:bCs/>
          <w:sz w:val="24"/>
          <w:szCs w:val="24"/>
        </w:rPr>
        <w:t xml:space="preserve">Abstract </w:t>
      </w:r>
    </w:p>
    <w:p w:rsidR="0067744B" w:rsidRDefault="0067744B" w:rsidP="0067744B">
      <w:pPr>
        <w:tabs>
          <w:tab w:val="left" w:pos="0"/>
        </w:tabs>
        <w:spacing w:line="360" w:lineRule="auto"/>
        <w:ind w:left="-63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Objectives</w:t>
      </w:r>
      <w:r w:rsidRPr="00480BC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80BCD">
        <w:rPr>
          <w:rFonts w:ascii="Times New Roman" w:hAnsi="Times New Roman" w:cs="Times New Roman"/>
          <w:sz w:val="24"/>
          <w:szCs w:val="24"/>
        </w:rPr>
        <w:t xml:space="preserve"> The purpose of this study was to evaluate the effect of </w:t>
      </w:r>
      <w:proofErr w:type="spellStart"/>
      <w:r w:rsidRPr="00480BCD">
        <w:rPr>
          <w:rFonts w:ascii="Times New Roman" w:hAnsi="Times New Roman" w:cs="Times New Roman"/>
          <w:sz w:val="24"/>
          <w:szCs w:val="24"/>
        </w:rPr>
        <w:t>remineralizing</w:t>
      </w:r>
      <w:proofErr w:type="spellEnd"/>
      <w:r w:rsidRPr="00480BCD">
        <w:rPr>
          <w:rFonts w:ascii="Times New Roman" w:hAnsi="Times New Roman" w:cs="Times New Roman"/>
          <w:sz w:val="24"/>
          <w:szCs w:val="24"/>
        </w:rPr>
        <w:t xml:space="preserve"> pretreatments with casein </w:t>
      </w:r>
      <w:proofErr w:type="spellStart"/>
      <w:r w:rsidRPr="00480BCD">
        <w:rPr>
          <w:rFonts w:ascii="Times New Roman" w:hAnsi="Times New Roman" w:cs="Times New Roman"/>
          <w:sz w:val="24"/>
          <w:szCs w:val="24"/>
        </w:rPr>
        <w:t>phosphopeptide</w:t>
      </w:r>
      <w:proofErr w:type="spellEnd"/>
      <w:r w:rsidRPr="00480BCD">
        <w:rPr>
          <w:rFonts w:ascii="Times New Roman" w:hAnsi="Times New Roman" w:cs="Times New Roman"/>
          <w:sz w:val="24"/>
          <w:szCs w:val="24"/>
        </w:rPr>
        <w:t xml:space="preserve">-amorphous calcium phosphate (CPP-ACP) or casein </w:t>
      </w:r>
      <w:proofErr w:type="spellStart"/>
      <w:r w:rsidRPr="00480BCD">
        <w:rPr>
          <w:rFonts w:ascii="Times New Roman" w:hAnsi="Times New Roman" w:cs="Times New Roman"/>
          <w:sz w:val="24"/>
          <w:szCs w:val="24"/>
        </w:rPr>
        <w:t>phosphopeptide</w:t>
      </w:r>
      <w:proofErr w:type="spellEnd"/>
      <w:r w:rsidRPr="00480BCD">
        <w:rPr>
          <w:rFonts w:ascii="Times New Roman" w:hAnsi="Times New Roman" w:cs="Times New Roman"/>
          <w:sz w:val="24"/>
          <w:szCs w:val="24"/>
        </w:rPr>
        <w:t xml:space="preserve">-amorphous calcium fluoride phosphate (CPP-ACFP) on the bond strength between composite resin and sound or </w:t>
      </w:r>
      <w:proofErr w:type="spellStart"/>
      <w:r w:rsidRPr="00480BCD">
        <w:rPr>
          <w:rFonts w:ascii="Times New Roman" w:hAnsi="Times New Roman" w:cs="Times New Roman"/>
          <w:sz w:val="24"/>
          <w:szCs w:val="24"/>
        </w:rPr>
        <w:t>demineralized</w:t>
      </w:r>
      <w:proofErr w:type="spellEnd"/>
      <w:r w:rsidRPr="00480BCD">
        <w:rPr>
          <w:rFonts w:ascii="Times New Roman" w:hAnsi="Times New Roman" w:cs="Times New Roman"/>
          <w:sz w:val="24"/>
          <w:szCs w:val="24"/>
        </w:rPr>
        <w:t xml:space="preserve"> enamel surfaces. </w:t>
      </w:r>
    </w:p>
    <w:p w:rsidR="0067744B" w:rsidRDefault="0067744B" w:rsidP="0067744B">
      <w:pPr>
        <w:tabs>
          <w:tab w:val="left" w:pos="0"/>
        </w:tabs>
        <w:spacing w:line="360" w:lineRule="auto"/>
        <w:ind w:left="-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Materials</w:t>
      </w:r>
      <w:r w:rsidRPr="00480BCD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480BCD">
        <w:rPr>
          <w:rFonts w:ascii="Times New Roman" w:hAnsi="Times New Roman" w:cs="Times New Roman"/>
          <w:b/>
          <w:bCs/>
          <w:sz w:val="24"/>
          <w:szCs w:val="24"/>
        </w:rPr>
        <w:t>ethods:</w:t>
      </w:r>
      <w:r w:rsidRPr="00480BCD">
        <w:rPr>
          <w:rFonts w:ascii="Times New Roman" w:hAnsi="Times New Roman" w:cs="Times New Roman"/>
          <w:sz w:val="24"/>
          <w:szCs w:val="24"/>
        </w:rPr>
        <w:t xml:space="preserve"> One hundred and forty-four enamel surfaces were prepared and randomly divided into 12 groups (G1-G12). Surfaces of G7-12 were </w:t>
      </w:r>
      <w:proofErr w:type="spellStart"/>
      <w:r w:rsidRPr="00480BCD">
        <w:rPr>
          <w:rFonts w:ascii="Times New Roman" w:hAnsi="Times New Roman" w:cs="Times New Roman"/>
          <w:sz w:val="24"/>
          <w:szCs w:val="24"/>
        </w:rPr>
        <w:t>demineralized</w:t>
      </w:r>
      <w:proofErr w:type="spellEnd"/>
      <w:r w:rsidRPr="00480BCD">
        <w:rPr>
          <w:rFonts w:ascii="Times New Roman" w:hAnsi="Times New Roman" w:cs="Times New Roman"/>
          <w:sz w:val="24"/>
          <w:szCs w:val="24"/>
        </w:rPr>
        <w:t xml:space="preserve"> to create a lesion (L), while G1-6 was assigned to the sound (S) enamel group. Three pretreatment protocols were considered during a 10 day pH-cycling period: CPP-ACFP, CPP-ACP, or no pretreatment (for the control groups). A composite rod was bonded to the surfaces using a self-etch or total-etch bonding system. Shear force was applied at a rate of 1 mm/min and the bond strengths of the specimens were calculated. </w:t>
      </w:r>
    </w:p>
    <w:p w:rsidR="0067744B" w:rsidRDefault="0067744B" w:rsidP="0067744B">
      <w:pPr>
        <w:tabs>
          <w:tab w:val="left" w:pos="0"/>
        </w:tabs>
        <w:spacing w:line="360" w:lineRule="auto"/>
        <w:ind w:left="-63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0BCD">
        <w:rPr>
          <w:rFonts w:ascii="Times New Roman" w:hAnsi="Times New Roman" w:cs="Times New Roman"/>
          <w:b/>
          <w:bCs/>
          <w:sz w:val="24"/>
          <w:szCs w:val="24"/>
        </w:rPr>
        <w:t>Results:</w:t>
      </w:r>
      <w:r w:rsidRPr="00480BCD">
        <w:rPr>
          <w:rFonts w:ascii="Times New Roman" w:hAnsi="Times New Roman" w:cs="Times New Roman"/>
          <w:sz w:val="24"/>
          <w:szCs w:val="24"/>
        </w:rPr>
        <w:t xml:space="preserve"> The sound (S) groups (33.81±8.48</w:t>
      </w:r>
      <w:r>
        <w:rPr>
          <w:rFonts w:ascii="Times New Roman" w:hAnsi="Times New Roman" w:cs="Times New Roman"/>
          <w:sz w:val="24"/>
          <w:szCs w:val="24"/>
        </w:rPr>
        <w:t>MPa</w:t>
      </w:r>
      <w:r w:rsidRPr="00480BCD">
        <w:rPr>
          <w:rFonts w:ascii="Times New Roman" w:hAnsi="Times New Roman" w:cs="Times New Roman"/>
          <w:sz w:val="24"/>
          <w:szCs w:val="24"/>
        </w:rPr>
        <w:t>) showed a significantly higher bond strength compared to the lesion (L) groups (25.77±6.69</w:t>
      </w:r>
      <w:r>
        <w:rPr>
          <w:rFonts w:ascii="Times New Roman" w:hAnsi="Times New Roman" w:cs="Times New Roman"/>
          <w:sz w:val="24"/>
          <w:szCs w:val="24"/>
        </w:rPr>
        <w:t>MPa</w:t>
      </w:r>
      <w:r w:rsidRPr="00480BCD">
        <w:rPr>
          <w:rFonts w:ascii="Times New Roman" w:hAnsi="Times New Roman" w:cs="Times New Roman"/>
          <w:sz w:val="24"/>
          <w:szCs w:val="24"/>
        </w:rPr>
        <w:t>; P&lt;0.001). Among the pretreatments, CPP-ACFP pretreated groups had the highest bond strengths (33.86±8.87</w:t>
      </w:r>
      <w:r>
        <w:rPr>
          <w:rFonts w:ascii="Times New Roman" w:hAnsi="Times New Roman" w:cs="Times New Roman"/>
          <w:sz w:val="24"/>
          <w:szCs w:val="24"/>
        </w:rPr>
        <w:t>MPa</w:t>
      </w:r>
      <w:r w:rsidRPr="00480BCD">
        <w:rPr>
          <w:rFonts w:ascii="Times New Roman" w:hAnsi="Times New Roman" w:cs="Times New Roman"/>
          <w:sz w:val="24"/>
          <w:szCs w:val="24"/>
        </w:rPr>
        <w:t>). The mean bond strengths for the self-etch and total-etch bonded specimens were 25.77±6.50 and 33.81±8.62, respectively (P&lt;0.001). </w:t>
      </w:r>
    </w:p>
    <w:p w:rsidR="0067744B" w:rsidRPr="00D8443C" w:rsidRDefault="0067744B" w:rsidP="0067744B">
      <w:pPr>
        <w:tabs>
          <w:tab w:val="left" w:pos="0"/>
        </w:tabs>
        <w:spacing w:line="360" w:lineRule="auto"/>
        <w:ind w:left="-630"/>
        <w:jc w:val="both"/>
        <w:rPr>
          <w:rFonts w:ascii="Times New Roman" w:hAnsi="Times New Roman" w:cs="Times New Roman"/>
          <w:i/>
          <w:iCs/>
        </w:rPr>
      </w:pPr>
      <w:r w:rsidRPr="00480BCD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Pr="00480BCD">
        <w:rPr>
          <w:rFonts w:ascii="Times New Roman" w:hAnsi="Times New Roman" w:cs="Times New Roman"/>
          <w:sz w:val="24"/>
          <w:szCs w:val="24"/>
        </w:rPr>
        <w:t xml:space="preserve"> </w:t>
      </w:r>
      <w:r w:rsidRPr="00D8443C">
        <w:rPr>
          <w:rFonts w:ascii="Times New Roman" w:hAnsi="Times New Roman" w:cs="Times New Roman"/>
        </w:rPr>
        <w:t>Pretreatment of early caries lesions with C</w:t>
      </w:r>
      <w:r>
        <w:rPr>
          <w:rFonts w:ascii="Times New Roman" w:hAnsi="Times New Roman" w:cs="Times New Roman"/>
        </w:rPr>
        <w:t>PP-ACFP before a composite res</w:t>
      </w:r>
      <w:r w:rsidRPr="00D8443C">
        <w:rPr>
          <w:rFonts w:ascii="Times New Roman" w:hAnsi="Times New Roman" w:cs="Times New Roman"/>
        </w:rPr>
        <w:t xml:space="preserve">toration not only </w:t>
      </w:r>
      <w:proofErr w:type="spellStart"/>
      <w:r w:rsidRPr="00D8443C">
        <w:rPr>
          <w:rFonts w:ascii="Times New Roman" w:hAnsi="Times New Roman" w:cs="Times New Roman"/>
        </w:rPr>
        <w:t>remineralizes</w:t>
      </w:r>
      <w:proofErr w:type="spellEnd"/>
      <w:r w:rsidRPr="00D8443C">
        <w:rPr>
          <w:rFonts w:ascii="Times New Roman" w:hAnsi="Times New Roman" w:cs="Times New Roman"/>
        </w:rPr>
        <w:t xml:space="preserve"> the lesion but also increases the bond strength of the</w:t>
      </w:r>
      <w:r w:rsidRPr="00D8443C">
        <w:rPr>
          <w:rFonts w:ascii="Times New Roman" w:hAnsi="Times New Roman" w:cs="Times New Roman"/>
          <w:i/>
          <w:iCs/>
        </w:rPr>
        <w:t xml:space="preserve"> </w:t>
      </w:r>
      <w:r w:rsidRPr="00D8443C">
        <w:rPr>
          <w:rFonts w:ascii="Times New Roman" w:hAnsi="Times New Roman" w:cs="Times New Roman"/>
        </w:rPr>
        <w:t>restoration.</w:t>
      </w:r>
    </w:p>
    <w:p w:rsidR="0067744B" w:rsidRDefault="0067744B" w:rsidP="0067744B">
      <w:pPr>
        <w:tabs>
          <w:tab w:val="left" w:pos="0"/>
        </w:tabs>
        <w:spacing w:line="360" w:lineRule="auto"/>
        <w:ind w:left="-630"/>
        <w:jc w:val="both"/>
        <w:rPr>
          <w:rFonts w:ascii="Times New Roman" w:hAnsi="Times New Roman" w:cs="Times New Roman"/>
          <w:sz w:val="24"/>
          <w:szCs w:val="24"/>
        </w:rPr>
      </w:pPr>
    </w:p>
    <w:p w:rsidR="0067744B" w:rsidRDefault="0067744B" w:rsidP="0067744B">
      <w:pPr>
        <w:tabs>
          <w:tab w:val="left" w:pos="0"/>
        </w:tabs>
        <w:spacing w:line="360" w:lineRule="auto"/>
        <w:ind w:left="-630"/>
        <w:jc w:val="both"/>
        <w:rPr>
          <w:rFonts w:ascii="Times New Roman" w:hAnsi="Times New Roman" w:cs="Times New Roman"/>
          <w:sz w:val="24"/>
          <w:szCs w:val="24"/>
        </w:rPr>
      </w:pPr>
      <w:r w:rsidRPr="00480BCD">
        <w:rPr>
          <w:rFonts w:ascii="Times New Roman" w:hAnsi="Times New Roman" w:cs="Times New Roman"/>
          <w:b/>
          <w:bCs/>
          <w:sz w:val="24"/>
          <w:szCs w:val="24"/>
        </w:rPr>
        <w:t xml:space="preserve">Key words: </w:t>
      </w:r>
      <w:r w:rsidRPr="00480BCD">
        <w:rPr>
          <w:rFonts w:ascii="Times New Roman" w:hAnsi="Times New Roman" w:cs="Times New Roman"/>
          <w:sz w:val="24"/>
          <w:szCs w:val="24"/>
        </w:rPr>
        <w:t xml:space="preserve">Enamel. </w:t>
      </w:r>
      <w:proofErr w:type="spellStart"/>
      <w:proofErr w:type="gramStart"/>
      <w:r w:rsidRPr="00480BCD">
        <w:rPr>
          <w:rFonts w:ascii="Times New Roman" w:hAnsi="Times New Roman" w:cs="Times New Roman"/>
          <w:sz w:val="24"/>
          <w:szCs w:val="24"/>
        </w:rPr>
        <w:t>Remineralization</w:t>
      </w:r>
      <w:proofErr w:type="spellEnd"/>
      <w:r w:rsidRPr="00480BC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80B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0BCD">
        <w:rPr>
          <w:rFonts w:ascii="Times New Roman" w:hAnsi="Times New Roman" w:cs="Times New Roman"/>
          <w:sz w:val="24"/>
          <w:szCs w:val="24"/>
        </w:rPr>
        <w:t>White spot lesion.</w:t>
      </w:r>
      <w:proofErr w:type="gramEnd"/>
      <w:r w:rsidRPr="00480B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0BCD">
        <w:rPr>
          <w:rFonts w:ascii="Times New Roman" w:hAnsi="Times New Roman" w:cs="Times New Roman"/>
          <w:sz w:val="24"/>
          <w:szCs w:val="24"/>
        </w:rPr>
        <w:t>Bond strength.</w:t>
      </w:r>
      <w:proofErr w:type="gramEnd"/>
      <w:r w:rsidRPr="00480B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0BCD">
        <w:rPr>
          <w:rFonts w:ascii="Times New Roman" w:hAnsi="Times New Roman" w:cs="Times New Roman"/>
          <w:sz w:val="24"/>
          <w:szCs w:val="24"/>
        </w:rPr>
        <w:t>Dentin-bonding agents.</w:t>
      </w:r>
      <w:proofErr w:type="gramEnd"/>
      <w:r w:rsidRPr="00480B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0BCD">
        <w:rPr>
          <w:rFonts w:ascii="Times New Roman" w:hAnsi="Times New Roman" w:cs="Times New Roman"/>
          <w:sz w:val="24"/>
          <w:szCs w:val="24"/>
        </w:rPr>
        <w:t>Composite resins.</w:t>
      </w:r>
      <w:proofErr w:type="gramEnd"/>
    </w:p>
    <w:p w:rsidR="0067744B" w:rsidRDefault="0067744B" w:rsidP="0067744B">
      <w:pPr>
        <w:tabs>
          <w:tab w:val="left" w:pos="0"/>
        </w:tabs>
        <w:spacing w:line="360" w:lineRule="auto"/>
        <w:ind w:left="-630"/>
        <w:jc w:val="both"/>
        <w:rPr>
          <w:rFonts w:ascii="Times New Roman" w:hAnsi="Times New Roman" w:cs="Times New Roman"/>
          <w:sz w:val="24"/>
          <w:szCs w:val="24"/>
        </w:rPr>
      </w:pPr>
    </w:p>
    <w:p w:rsidR="0067744B" w:rsidRPr="00A850E9" w:rsidRDefault="0067744B" w:rsidP="0067744B">
      <w:pPr>
        <w:tabs>
          <w:tab w:val="left" w:pos="0"/>
        </w:tabs>
        <w:spacing w:line="360" w:lineRule="auto"/>
        <w:ind w:left="-630"/>
        <w:jc w:val="both"/>
        <w:rPr>
          <w:rFonts w:ascii="Times New Roman" w:hAnsi="Times New Roman" w:cs="Times New Roman"/>
          <w:sz w:val="24"/>
          <w:szCs w:val="24"/>
        </w:rPr>
      </w:pPr>
    </w:p>
    <w:p w:rsidR="00BE1FFD" w:rsidRDefault="00BE1FFD"/>
    <w:sectPr w:rsidR="00BE1FFD" w:rsidSect="00BE1F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Farnaz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67744B"/>
    <w:rsid w:val="0067744B"/>
    <w:rsid w:val="00BE1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44B"/>
    <w:pPr>
      <w:jc w:val="right"/>
    </w:pPr>
    <w:rPr>
      <w:rFonts w:ascii="Calibri" w:eastAsia="Calibri" w:hAnsi="Calibri" w:cs="2  Farna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drshirani</dc:creator>
  <cp:lastModifiedBy>drshirani</cp:lastModifiedBy>
  <cp:revision>1</cp:revision>
  <dcterms:created xsi:type="dcterms:W3CDTF">2014-09-30T09:25:00Z</dcterms:created>
  <dcterms:modified xsi:type="dcterms:W3CDTF">2014-09-30T09:25:00Z</dcterms:modified>
</cp:coreProperties>
</file>