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8D" w:rsidRDefault="00DD508D" w:rsidP="00DD508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Agreement between the Clinical and Radiographic Parameters of Furcation Involvement in Patients with Periodontitis</w:t>
      </w:r>
    </w:p>
    <w:p w:rsidR="00DD508D" w:rsidRDefault="00DD508D" w:rsidP="00DD508D">
      <w:pPr>
        <w:rPr>
          <w:b/>
          <w:bCs/>
          <w:sz w:val="24"/>
          <w:szCs w:val="24"/>
        </w:rPr>
      </w:pPr>
    </w:p>
    <w:p w:rsidR="00DD508D" w:rsidRPr="00DD508D" w:rsidRDefault="00DD508D" w:rsidP="00581663">
      <w:pPr>
        <w:rPr>
          <w:b/>
          <w:bCs/>
          <w:sz w:val="24"/>
          <w:szCs w:val="24"/>
          <w:lang/>
        </w:rPr>
      </w:pPr>
      <w:proofErr w:type="spellStart"/>
      <w:r w:rsidRPr="00DD508D">
        <w:rPr>
          <w:b/>
          <w:bCs/>
          <w:sz w:val="24"/>
          <w:szCs w:val="24"/>
        </w:rPr>
        <w:t>Duaa</w:t>
      </w:r>
      <w:proofErr w:type="spellEnd"/>
      <w:r w:rsidRPr="00DD508D">
        <w:rPr>
          <w:b/>
          <w:bCs/>
          <w:sz w:val="24"/>
          <w:szCs w:val="24"/>
        </w:rPr>
        <w:t xml:space="preserve"> </w:t>
      </w:r>
      <w:proofErr w:type="spellStart"/>
      <w:r w:rsidRPr="00DD508D">
        <w:rPr>
          <w:b/>
          <w:bCs/>
          <w:sz w:val="24"/>
          <w:szCs w:val="24"/>
        </w:rPr>
        <w:t>Almohammadi</w:t>
      </w:r>
      <w:proofErr w:type="spellEnd"/>
      <w:r>
        <w:rPr>
          <w:b/>
          <w:bCs/>
          <w:sz w:val="24"/>
          <w:szCs w:val="24"/>
        </w:rPr>
        <w:t>,</w:t>
      </w:r>
      <w:r w:rsidR="00581663" w:rsidRPr="00581663">
        <w:rPr>
          <w:b/>
          <w:bCs/>
          <w:sz w:val="24"/>
          <w:szCs w:val="24"/>
        </w:rPr>
        <w:t xml:space="preserve"> </w:t>
      </w:r>
      <w:proofErr w:type="spellStart"/>
      <w:r w:rsidR="00581663" w:rsidRPr="00DD508D">
        <w:rPr>
          <w:b/>
          <w:bCs/>
          <w:sz w:val="24"/>
          <w:szCs w:val="24"/>
        </w:rPr>
        <w:t>Rasha</w:t>
      </w:r>
      <w:proofErr w:type="spellEnd"/>
      <w:r w:rsidR="00581663" w:rsidRPr="00DD508D">
        <w:rPr>
          <w:b/>
          <w:bCs/>
          <w:sz w:val="24"/>
          <w:szCs w:val="24"/>
          <w:rtl/>
          <w:lang/>
        </w:rPr>
        <w:t xml:space="preserve"> </w:t>
      </w:r>
      <w:proofErr w:type="spellStart"/>
      <w:r w:rsidR="00581663" w:rsidRPr="00DD508D">
        <w:rPr>
          <w:b/>
          <w:bCs/>
          <w:sz w:val="24"/>
          <w:szCs w:val="24"/>
        </w:rPr>
        <w:t>Alharbi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 w:rsidR="00581663" w:rsidRPr="00DD508D">
        <w:rPr>
          <w:b/>
          <w:bCs/>
          <w:sz w:val="24"/>
          <w:szCs w:val="24"/>
        </w:rPr>
        <w:t>Amjad</w:t>
      </w:r>
      <w:proofErr w:type="spellEnd"/>
      <w:r w:rsidR="00581663" w:rsidRPr="00DD508D">
        <w:rPr>
          <w:b/>
          <w:bCs/>
          <w:sz w:val="24"/>
          <w:szCs w:val="24"/>
        </w:rPr>
        <w:t xml:space="preserve"> </w:t>
      </w:r>
      <w:proofErr w:type="spellStart"/>
      <w:r w:rsidR="00581663">
        <w:rPr>
          <w:b/>
          <w:bCs/>
          <w:sz w:val="24"/>
          <w:szCs w:val="24"/>
        </w:rPr>
        <w:t>Alshahrani</w:t>
      </w:r>
      <w:proofErr w:type="spellEnd"/>
      <w:r w:rsidR="00581663">
        <w:rPr>
          <w:b/>
          <w:bCs/>
          <w:sz w:val="24"/>
          <w:szCs w:val="24"/>
        </w:rPr>
        <w:t>,</w:t>
      </w:r>
      <w:r w:rsidR="00581663" w:rsidRPr="00581663">
        <w:rPr>
          <w:b/>
          <w:bCs/>
          <w:sz w:val="24"/>
          <w:szCs w:val="24"/>
        </w:rPr>
        <w:t xml:space="preserve"> </w:t>
      </w:r>
      <w:proofErr w:type="spellStart"/>
      <w:r w:rsidR="00581663" w:rsidRPr="00DD508D">
        <w:rPr>
          <w:b/>
          <w:bCs/>
          <w:sz w:val="24"/>
          <w:szCs w:val="24"/>
        </w:rPr>
        <w:t>Meral</w:t>
      </w:r>
      <w:proofErr w:type="spellEnd"/>
      <w:r w:rsidR="00581663" w:rsidRPr="00DD508D">
        <w:rPr>
          <w:b/>
          <w:bCs/>
          <w:sz w:val="24"/>
          <w:szCs w:val="24"/>
        </w:rPr>
        <w:t xml:space="preserve"> </w:t>
      </w:r>
      <w:proofErr w:type="spellStart"/>
      <w:r w:rsidR="00581663" w:rsidRPr="00DD508D">
        <w:rPr>
          <w:b/>
          <w:bCs/>
          <w:sz w:val="24"/>
          <w:szCs w:val="24"/>
        </w:rPr>
        <w:t>Alyami</w:t>
      </w:r>
      <w:proofErr w:type="spellEnd"/>
      <w:r w:rsidR="00581663">
        <w:rPr>
          <w:b/>
          <w:bCs/>
          <w:sz w:val="24"/>
          <w:szCs w:val="24"/>
        </w:rPr>
        <w:t xml:space="preserve">, </w:t>
      </w:r>
      <w:proofErr w:type="spellStart"/>
      <w:r w:rsidR="00581663" w:rsidRPr="00DD508D">
        <w:rPr>
          <w:b/>
          <w:bCs/>
          <w:sz w:val="24"/>
          <w:szCs w:val="24"/>
        </w:rPr>
        <w:t>Hussah</w:t>
      </w:r>
      <w:proofErr w:type="spellEnd"/>
      <w:r w:rsidR="00581663" w:rsidRPr="00DD508D">
        <w:rPr>
          <w:b/>
          <w:bCs/>
          <w:sz w:val="24"/>
          <w:szCs w:val="24"/>
        </w:rPr>
        <w:t xml:space="preserve"> </w:t>
      </w:r>
      <w:proofErr w:type="spellStart"/>
      <w:r w:rsidR="00581663" w:rsidRPr="00DD508D">
        <w:rPr>
          <w:b/>
          <w:bCs/>
          <w:sz w:val="24"/>
          <w:szCs w:val="24"/>
        </w:rPr>
        <w:t>alodwene</w:t>
      </w:r>
      <w:proofErr w:type="spellEnd"/>
      <w:r>
        <w:rPr>
          <w:b/>
          <w:bCs/>
          <w:sz w:val="24"/>
          <w:szCs w:val="24"/>
        </w:rPr>
        <w:t>,</w:t>
      </w:r>
      <w:r w:rsidR="00581663">
        <w:rPr>
          <w:b/>
          <w:bCs/>
          <w:sz w:val="24"/>
          <w:szCs w:val="24"/>
          <w:lang/>
        </w:rPr>
        <w:t xml:space="preserve"> </w:t>
      </w:r>
      <w:bookmarkStart w:id="0" w:name="_GoBack"/>
      <w:bookmarkEnd w:id="0"/>
      <w:proofErr w:type="spellStart"/>
      <w:r w:rsidR="00581663" w:rsidRPr="00DD508D">
        <w:rPr>
          <w:b/>
          <w:bCs/>
          <w:sz w:val="24"/>
          <w:szCs w:val="24"/>
        </w:rPr>
        <w:t>Bothin</w:t>
      </w:r>
      <w:r w:rsidR="00581663">
        <w:rPr>
          <w:b/>
          <w:bCs/>
          <w:sz w:val="24"/>
          <w:szCs w:val="24"/>
        </w:rPr>
        <w:t>ah</w:t>
      </w:r>
      <w:proofErr w:type="spellEnd"/>
      <w:r w:rsidR="00581663">
        <w:rPr>
          <w:b/>
          <w:bCs/>
          <w:sz w:val="24"/>
          <w:szCs w:val="24"/>
        </w:rPr>
        <w:t xml:space="preserve"> </w:t>
      </w:r>
      <w:proofErr w:type="spellStart"/>
      <w:r w:rsidR="00581663">
        <w:rPr>
          <w:b/>
          <w:bCs/>
          <w:sz w:val="24"/>
          <w:szCs w:val="24"/>
        </w:rPr>
        <w:t>Alnasyan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 w:rsidRPr="00DD508D">
        <w:rPr>
          <w:b/>
          <w:bCs/>
          <w:sz w:val="24"/>
          <w:szCs w:val="24"/>
        </w:rPr>
        <w:t>Fathima</w:t>
      </w:r>
      <w:proofErr w:type="spellEnd"/>
      <w:r>
        <w:rPr>
          <w:b/>
          <w:bCs/>
          <w:sz w:val="24"/>
          <w:szCs w:val="24"/>
          <w:lang/>
        </w:rPr>
        <w:t xml:space="preserve"> </w:t>
      </w:r>
      <w:proofErr w:type="spellStart"/>
      <w:r w:rsidRPr="00DD508D">
        <w:rPr>
          <w:b/>
          <w:bCs/>
          <w:sz w:val="24"/>
          <w:szCs w:val="24"/>
        </w:rPr>
        <w:t>Farook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 w:rsidRPr="00DD508D">
        <w:rPr>
          <w:b/>
          <w:bCs/>
        </w:rPr>
        <w:t>Wael</w:t>
      </w:r>
      <w:proofErr w:type="spellEnd"/>
      <w:r w:rsidRPr="00DD508D">
        <w:rPr>
          <w:b/>
          <w:bCs/>
        </w:rPr>
        <w:t xml:space="preserve"> </w:t>
      </w:r>
      <w:proofErr w:type="spellStart"/>
      <w:r w:rsidRPr="00DD508D">
        <w:rPr>
          <w:b/>
          <w:bCs/>
        </w:rPr>
        <w:t>Aboelmaaty</w:t>
      </w:r>
      <w:proofErr w:type="spellEnd"/>
    </w:p>
    <w:p w:rsidR="00673AEF" w:rsidRPr="00DD508D" w:rsidRDefault="00DD508D" w:rsidP="00DD508D">
      <w:pPr>
        <w:ind w:left="360"/>
        <w:rPr>
          <w:sz w:val="24"/>
          <w:szCs w:val="24"/>
        </w:rPr>
      </w:pPr>
      <w:r w:rsidRPr="00DD508D">
        <w:rPr>
          <w:b/>
          <w:bCs/>
          <w:sz w:val="24"/>
          <w:szCs w:val="24"/>
        </w:rPr>
        <w:t xml:space="preserve">                 </w:t>
      </w:r>
    </w:p>
    <w:p w:rsidR="008B60B7" w:rsidRPr="00DD508D" w:rsidRDefault="008B60B7" w:rsidP="00673AEF">
      <w:pPr>
        <w:rPr>
          <w:rFonts w:cstheme="minorHAnsi"/>
          <w:b/>
          <w:bCs/>
          <w:sz w:val="24"/>
          <w:szCs w:val="24"/>
        </w:rPr>
      </w:pPr>
      <w:r w:rsidRPr="00DD508D">
        <w:rPr>
          <w:rFonts w:cstheme="minorHAnsi"/>
          <w:b/>
          <w:bCs/>
          <w:sz w:val="24"/>
          <w:szCs w:val="24"/>
        </w:rPr>
        <w:t>Introduction:</w:t>
      </w:r>
    </w:p>
    <w:p w:rsidR="00673AEF" w:rsidRPr="00DD508D" w:rsidRDefault="00862D3E" w:rsidP="00673AEF">
      <w:pPr>
        <w:rPr>
          <w:rFonts w:cstheme="minorHAnsi"/>
          <w:b/>
          <w:bCs/>
          <w:sz w:val="24"/>
          <w:szCs w:val="24"/>
        </w:rPr>
      </w:pPr>
      <w:r w:rsidRPr="00DD508D">
        <w:rPr>
          <w:rFonts w:cstheme="minorHAnsi"/>
          <w:bCs/>
          <w:sz w:val="24"/>
          <w:szCs w:val="24"/>
        </w:rPr>
        <w:t>Furcation involvement (FI)</w:t>
      </w:r>
      <w:r w:rsidR="008B60B7" w:rsidRPr="00DD508D">
        <w:rPr>
          <w:rFonts w:cstheme="minorHAnsi"/>
          <w:bCs/>
          <w:sz w:val="24"/>
          <w:szCs w:val="24"/>
        </w:rPr>
        <w:t>, a</w:t>
      </w:r>
      <w:r w:rsidRPr="00DD508D">
        <w:rPr>
          <w:rFonts w:cstheme="minorHAnsi"/>
          <w:bCs/>
          <w:sz w:val="24"/>
          <w:szCs w:val="24"/>
        </w:rPr>
        <w:t xml:space="preserve"> condition when periodontal disease has caused </w:t>
      </w:r>
      <w:proofErr w:type="spellStart"/>
      <w:r w:rsidR="00832436" w:rsidRPr="00DD508D">
        <w:rPr>
          <w:rFonts w:cstheme="minorHAnsi"/>
          <w:bCs/>
          <w:sz w:val="24"/>
          <w:szCs w:val="24"/>
        </w:rPr>
        <w:t>interradicular</w:t>
      </w:r>
      <w:proofErr w:type="spellEnd"/>
      <w:r w:rsidR="00832436" w:rsidRPr="00DD508D">
        <w:rPr>
          <w:rFonts w:cstheme="minorHAnsi"/>
          <w:bCs/>
          <w:sz w:val="24"/>
          <w:szCs w:val="24"/>
        </w:rPr>
        <w:t xml:space="preserve"> bone loss in</w:t>
      </w:r>
      <w:r w:rsidRPr="00DD508D">
        <w:rPr>
          <w:rFonts w:cstheme="minorHAnsi"/>
          <w:bCs/>
          <w:sz w:val="24"/>
          <w:szCs w:val="24"/>
        </w:rPr>
        <w:t xml:space="preserve"> a multi-rooted tooth</w:t>
      </w:r>
      <w:r w:rsidR="008B60B7" w:rsidRPr="00DD508D">
        <w:rPr>
          <w:rFonts w:cstheme="minorHAnsi"/>
          <w:bCs/>
          <w:sz w:val="24"/>
          <w:szCs w:val="24"/>
        </w:rPr>
        <w:t xml:space="preserve"> is</w:t>
      </w:r>
      <w:r w:rsidRPr="00DD508D">
        <w:rPr>
          <w:rFonts w:cstheme="minorHAnsi"/>
          <w:color w:val="333333"/>
          <w:sz w:val="24"/>
          <w:szCs w:val="24"/>
          <w:shd w:val="clear" w:color="auto" w:fill="FFFFFF"/>
        </w:rPr>
        <w:t xml:space="preserve"> assessed with a combination of clinical detection and intraoral radiographs. </w:t>
      </w:r>
      <w:r w:rsidR="00424CD2" w:rsidRPr="00DD508D">
        <w:rPr>
          <w:rFonts w:cstheme="minorHAnsi"/>
          <w:color w:val="333333"/>
          <w:sz w:val="24"/>
          <w:szCs w:val="24"/>
          <w:shd w:val="clear" w:color="auto" w:fill="FFFFFF"/>
        </w:rPr>
        <w:t xml:space="preserve">However, few studies have been done to study the relationship between these two parameters. </w:t>
      </w:r>
    </w:p>
    <w:p w:rsidR="00673AEF" w:rsidRPr="00DD508D" w:rsidRDefault="00424CD2" w:rsidP="00673AEF">
      <w:pPr>
        <w:rPr>
          <w:rFonts w:cstheme="minorHAnsi"/>
          <w:sz w:val="24"/>
          <w:szCs w:val="24"/>
        </w:rPr>
      </w:pPr>
      <w:r w:rsidRPr="00DD508D">
        <w:rPr>
          <w:rFonts w:cstheme="minorHAnsi"/>
          <w:b/>
          <w:bCs/>
          <w:sz w:val="24"/>
          <w:szCs w:val="24"/>
        </w:rPr>
        <w:t>Aim:</w:t>
      </w:r>
      <w:r w:rsidR="00673AEF" w:rsidRPr="00DD508D">
        <w:rPr>
          <w:rFonts w:cstheme="minorHAnsi"/>
          <w:sz w:val="24"/>
          <w:szCs w:val="24"/>
        </w:rPr>
        <w:t xml:space="preserve"> The aim of the present study was to </w:t>
      </w:r>
      <w:r w:rsidR="00AD2C8F" w:rsidRPr="00DD508D">
        <w:rPr>
          <w:rFonts w:cstheme="minorHAnsi"/>
          <w:sz w:val="24"/>
          <w:szCs w:val="24"/>
        </w:rPr>
        <w:t xml:space="preserve">compare and assess the agreement between the clinical and radiographic </w:t>
      </w:r>
      <w:r w:rsidR="00DF6E3D" w:rsidRPr="00DD508D">
        <w:rPr>
          <w:rFonts w:cstheme="minorHAnsi"/>
          <w:sz w:val="24"/>
          <w:szCs w:val="24"/>
        </w:rPr>
        <w:t>detection</w:t>
      </w:r>
      <w:r w:rsidR="00AD2C8F" w:rsidRPr="00DD508D">
        <w:rPr>
          <w:rFonts w:cstheme="minorHAnsi"/>
          <w:sz w:val="24"/>
          <w:szCs w:val="24"/>
        </w:rPr>
        <w:t xml:space="preserve"> of</w:t>
      </w:r>
      <w:r w:rsidR="00673AEF" w:rsidRPr="00DD508D">
        <w:rPr>
          <w:rFonts w:cstheme="minorHAnsi"/>
          <w:sz w:val="24"/>
          <w:szCs w:val="24"/>
        </w:rPr>
        <w:t xml:space="preserve"> furcation involvement in the </w:t>
      </w:r>
      <w:r w:rsidR="00AD2C8F" w:rsidRPr="00DD508D">
        <w:rPr>
          <w:rFonts w:cstheme="minorHAnsi"/>
          <w:sz w:val="24"/>
          <w:szCs w:val="24"/>
        </w:rPr>
        <w:t xml:space="preserve">mandibular </w:t>
      </w:r>
      <w:r w:rsidR="00673AEF" w:rsidRPr="00DD508D">
        <w:rPr>
          <w:rFonts w:cstheme="minorHAnsi"/>
          <w:sz w:val="24"/>
          <w:szCs w:val="24"/>
        </w:rPr>
        <w:t xml:space="preserve">molars of patients with periodontitis  </w:t>
      </w:r>
    </w:p>
    <w:p w:rsidR="00AD2C8F" w:rsidRPr="00DD508D" w:rsidRDefault="00673AEF" w:rsidP="00673AEF">
      <w:pPr>
        <w:rPr>
          <w:rFonts w:cstheme="minorHAnsi"/>
          <w:sz w:val="24"/>
          <w:szCs w:val="24"/>
        </w:rPr>
      </w:pPr>
      <w:r w:rsidRPr="00DD508D">
        <w:rPr>
          <w:rFonts w:cstheme="minorHAnsi"/>
          <w:b/>
          <w:bCs/>
          <w:sz w:val="24"/>
          <w:szCs w:val="24"/>
        </w:rPr>
        <w:t xml:space="preserve">Materials and Methods: </w:t>
      </w:r>
      <w:r w:rsidR="00DF6E3D" w:rsidRPr="00DD508D">
        <w:rPr>
          <w:rFonts w:cstheme="minorHAnsi"/>
          <w:sz w:val="24"/>
          <w:szCs w:val="24"/>
        </w:rPr>
        <w:t xml:space="preserve">One hundred and </w:t>
      </w:r>
      <w:r w:rsidR="00424CD2" w:rsidRPr="00DD508D">
        <w:rPr>
          <w:rFonts w:cstheme="minorHAnsi"/>
          <w:sz w:val="24"/>
          <w:szCs w:val="24"/>
        </w:rPr>
        <w:t>seventy-six</w:t>
      </w:r>
      <w:r w:rsidR="00DF6E3D" w:rsidRPr="00DD508D">
        <w:rPr>
          <w:rFonts w:cstheme="minorHAnsi"/>
          <w:sz w:val="24"/>
          <w:szCs w:val="24"/>
        </w:rPr>
        <w:t xml:space="preserve"> </w:t>
      </w:r>
      <w:r w:rsidRPr="00DD508D">
        <w:rPr>
          <w:rFonts w:cstheme="minorHAnsi"/>
          <w:sz w:val="24"/>
          <w:szCs w:val="24"/>
        </w:rPr>
        <w:t>subjects aged 35-</w:t>
      </w:r>
      <w:r w:rsidR="00DF6E3D" w:rsidRPr="00DD508D">
        <w:rPr>
          <w:rFonts w:cstheme="minorHAnsi"/>
          <w:sz w:val="24"/>
          <w:szCs w:val="24"/>
        </w:rPr>
        <w:t>76</w:t>
      </w:r>
      <w:r w:rsidRPr="00DD508D">
        <w:rPr>
          <w:rFonts w:cstheme="minorHAnsi"/>
          <w:sz w:val="24"/>
          <w:szCs w:val="24"/>
        </w:rPr>
        <w:t xml:space="preserve"> years </w:t>
      </w:r>
      <w:r w:rsidR="00DF6E3D" w:rsidRPr="00DD508D">
        <w:rPr>
          <w:rFonts w:cstheme="minorHAnsi"/>
          <w:sz w:val="24"/>
          <w:szCs w:val="24"/>
        </w:rPr>
        <w:t xml:space="preserve">with moderate to generalized periodontitis </w:t>
      </w:r>
      <w:r w:rsidR="009E6623" w:rsidRPr="00DD508D">
        <w:rPr>
          <w:rFonts w:cstheme="minorHAnsi"/>
          <w:sz w:val="24"/>
          <w:szCs w:val="24"/>
        </w:rPr>
        <w:t xml:space="preserve">who had existing </w:t>
      </w:r>
      <w:proofErr w:type="spellStart"/>
      <w:r w:rsidR="009E6623" w:rsidRPr="00DD508D">
        <w:rPr>
          <w:rFonts w:cstheme="minorHAnsi"/>
          <w:sz w:val="24"/>
          <w:szCs w:val="24"/>
        </w:rPr>
        <w:t>periapical</w:t>
      </w:r>
      <w:proofErr w:type="spellEnd"/>
      <w:r w:rsidR="009E6623" w:rsidRPr="00DD508D">
        <w:rPr>
          <w:rFonts w:cstheme="minorHAnsi"/>
          <w:sz w:val="24"/>
          <w:szCs w:val="24"/>
        </w:rPr>
        <w:t xml:space="preserve"> radiographs were included. This </w:t>
      </w:r>
      <w:r w:rsidRPr="00DD508D">
        <w:rPr>
          <w:rFonts w:cstheme="minorHAnsi"/>
          <w:sz w:val="24"/>
          <w:szCs w:val="24"/>
        </w:rPr>
        <w:t>compris</w:t>
      </w:r>
      <w:r w:rsidR="009E6623" w:rsidRPr="00DD508D">
        <w:rPr>
          <w:rFonts w:cstheme="minorHAnsi"/>
          <w:sz w:val="24"/>
          <w:szCs w:val="24"/>
        </w:rPr>
        <w:t>ed of</w:t>
      </w:r>
      <w:r w:rsidRPr="00DD508D">
        <w:rPr>
          <w:rFonts w:cstheme="minorHAnsi"/>
          <w:sz w:val="24"/>
          <w:szCs w:val="24"/>
        </w:rPr>
        <w:t xml:space="preserve"> a total of </w:t>
      </w:r>
      <w:r w:rsidR="009E6623" w:rsidRPr="00DD508D">
        <w:rPr>
          <w:rFonts w:cstheme="minorHAnsi"/>
          <w:sz w:val="24"/>
          <w:szCs w:val="24"/>
        </w:rPr>
        <w:t>180</w:t>
      </w:r>
      <w:r w:rsidRPr="00DD508D">
        <w:rPr>
          <w:rFonts w:cstheme="minorHAnsi"/>
          <w:sz w:val="24"/>
          <w:szCs w:val="24"/>
        </w:rPr>
        <w:t xml:space="preserve"> molars </w:t>
      </w:r>
      <w:r w:rsidR="009E6623" w:rsidRPr="00DD508D">
        <w:rPr>
          <w:rFonts w:cstheme="minorHAnsi"/>
          <w:sz w:val="24"/>
          <w:szCs w:val="24"/>
        </w:rPr>
        <w:t>involved with furcation</w:t>
      </w:r>
      <w:r w:rsidRPr="00DD508D">
        <w:rPr>
          <w:rFonts w:cstheme="minorHAnsi"/>
          <w:sz w:val="24"/>
          <w:szCs w:val="24"/>
        </w:rPr>
        <w:t xml:space="preserve">. The furcation involvement </w:t>
      </w:r>
      <w:r w:rsidR="009E6623" w:rsidRPr="00DD508D">
        <w:rPr>
          <w:rFonts w:cstheme="minorHAnsi"/>
          <w:sz w:val="24"/>
          <w:szCs w:val="24"/>
        </w:rPr>
        <w:t>was assessed on the mandibular first and second molars. The periodontal charts (</w:t>
      </w:r>
      <w:proofErr w:type="spellStart"/>
      <w:r w:rsidR="009E6623" w:rsidRPr="00DD508D">
        <w:rPr>
          <w:rFonts w:cstheme="minorHAnsi"/>
          <w:sz w:val="24"/>
          <w:szCs w:val="24"/>
        </w:rPr>
        <w:t>Hamp’s</w:t>
      </w:r>
      <w:proofErr w:type="spellEnd"/>
      <w:r w:rsidR="009E6623" w:rsidRPr="00DD508D">
        <w:rPr>
          <w:rFonts w:cstheme="minorHAnsi"/>
          <w:sz w:val="24"/>
          <w:szCs w:val="24"/>
        </w:rPr>
        <w:t xml:space="preserve"> classification) and intraoral </w:t>
      </w:r>
      <w:proofErr w:type="spellStart"/>
      <w:r w:rsidR="009E6623" w:rsidRPr="00DD508D">
        <w:rPr>
          <w:rFonts w:cstheme="minorHAnsi"/>
          <w:sz w:val="24"/>
          <w:szCs w:val="24"/>
        </w:rPr>
        <w:t>periapical</w:t>
      </w:r>
      <w:proofErr w:type="spellEnd"/>
      <w:r w:rsidR="009E6623" w:rsidRPr="00DD508D">
        <w:rPr>
          <w:rFonts w:cstheme="minorHAnsi"/>
          <w:sz w:val="24"/>
          <w:szCs w:val="24"/>
        </w:rPr>
        <w:t xml:space="preserve"> </w:t>
      </w:r>
      <w:r w:rsidRPr="00DD508D">
        <w:rPr>
          <w:rFonts w:cstheme="minorHAnsi"/>
          <w:sz w:val="24"/>
          <w:szCs w:val="24"/>
        </w:rPr>
        <w:t>radiograph</w:t>
      </w:r>
      <w:r w:rsidR="009E6623" w:rsidRPr="00DD508D">
        <w:rPr>
          <w:rFonts w:cstheme="minorHAnsi"/>
          <w:sz w:val="24"/>
          <w:szCs w:val="24"/>
        </w:rPr>
        <w:t xml:space="preserve">s were used to evaluate furcation on the </w:t>
      </w:r>
      <w:proofErr w:type="spellStart"/>
      <w:r w:rsidR="009E6623" w:rsidRPr="00DD508D">
        <w:rPr>
          <w:rFonts w:cstheme="minorHAnsi"/>
          <w:sz w:val="24"/>
          <w:szCs w:val="24"/>
        </w:rPr>
        <w:t>buccal</w:t>
      </w:r>
      <w:proofErr w:type="spellEnd"/>
      <w:r w:rsidR="009E6623" w:rsidRPr="00DD508D">
        <w:rPr>
          <w:rFonts w:cstheme="minorHAnsi"/>
          <w:sz w:val="24"/>
          <w:szCs w:val="24"/>
        </w:rPr>
        <w:t xml:space="preserve"> and the lingual sites. </w:t>
      </w:r>
      <w:r w:rsidRPr="00DD508D">
        <w:rPr>
          <w:rFonts w:cstheme="minorHAnsi"/>
          <w:sz w:val="24"/>
          <w:szCs w:val="24"/>
        </w:rPr>
        <w:t xml:space="preserve">The </w:t>
      </w:r>
      <w:r w:rsidR="009E6623" w:rsidRPr="00DD508D">
        <w:rPr>
          <w:rFonts w:cstheme="minorHAnsi"/>
          <w:sz w:val="24"/>
          <w:szCs w:val="24"/>
        </w:rPr>
        <w:t>agreement and correlation between the two m</w:t>
      </w:r>
      <w:r w:rsidR="00862D3E" w:rsidRPr="00DD508D">
        <w:rPr>
          <w:rFonts w:cstheme="minorHAnsi"/>
          <w:sz w:val="24"/>
          <w:szCs w:val="24"/>
        </w:rPr>
        <w:t xml:space="preserve">ethods of furcation assessment was evaluated by the </w:t>
      </w:r>
      <w:r w:rsidR="00AD2C8F" w:rsidRPr="00DD508D">
        <w:rPr>
          <w:rFonts w:cstheme="minorHAnsi"/>
          <w:sz w:val="24"/>
          <w:szCs w:val="24"/>
        </w:rPr>
        <w:t xml:space="preserve">kappa </w:t>
      </w:r>
      <w:r w:rsidR="00862D3E" w:rsidRPr="00DD508D">
        <w:rPr>
          <w:rFonts w:cstheme="minorHAnsi"/>
          <w:sz w:val="24"/>
          <w:szCs w:val="24"/>
        </w:rPr>
        <w:t>and spearman correlation analysis</w:t>
      </w:r>
      <w:r w:rsidRPr="00DD508D">
        <w:rPr>
          <w:rFonts w:cstheme="minorHAnsi"/>
          <w:sz w:val="24"/>
          <w:szCs w:val="24"/>
        </w:rPr>
        <w:t xml:space="preserve">. </w:t>
      </w:r>
    </w:p>
    <w:p w:rsidR="000A3987" w:rsidRPr="00DD508D" w:rsidRDefault="00673AEF" w:rsidP="00673AEF">
      <w:pPr>
        <w:rPr>
          <w:rFonts w:cstheme="minorHAnsi"/>
          <w:b/>
          <w:bCs/>
          <w:sz w:val="24"/>
          <w:szCs w:val="24"/>
        </w:rPr>
      </w:pPr>
      <w:r w:rsidRPr="00DD508D">
        <w:rPr>
          <w:rFonts w:cstheme="minorHAnsi"/>
          <w:b/>
          <w:bCs/>
          <w:sz w:val="24"/>
          <w:szCs w:val="24"/>
        </w:rPr>
        <w:t xml:space="preserve">Results: </w:t>
      </w:r>
    </w:p>
    <w:p w:rsidR="000A3987" w:rsidRPr="00DD508D" w:rsidRDefault="000A3987" w:rsidP="00673AEF">
      <w:pPr>
        <w:rPr>
          <w:rFonts w:cstheme="minorHAnsi"/>
          <w:color w:val="212529"/>
          <w:sz w:val="24"/>
          <w:szCs w:val="24"/>
          <w:shd w:val="clear" w:color="auto" w:fill="FFFFFF"/>
        </w:rPr>
      </w:pPr>
      <w:r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Of the hundred and eighty sites </w:t>
      </w:r>
      <w:r w:rsidR="00424CD2" w:rsidRPr="00DD508D">
        <w:rPr>
          <w:rFonts w:cstheme="minorHAnsi"/>
          <w:color w:val="212529"/>
          <w:sz w:val="24"/>
          <w:szCs w:val="24"/>
          <w:shd w:val="clear" w:color="auto" w:fill="FFFFFF"/>
        </w:rPr>
        <w:t>analyzed</w:t>
      </w:r>
      <w:r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, </w:t>
      </w:r>
      <w:r w:rsidR="004C2302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only a slight agreement was found 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between the clinical </w:t>
      </w:r>
      <w:r w:rsidR="00424CD2" w:rsidRPr="00DD508D">
        <w:rPr>
          <w:rFonts w:cstheme="minorHAnsi"/>
          <w:color w:val="212529"/>
          <w:sz w:val="24"/>
          <w:szCs w:val="24"/>
          <w:shd w:val="clear" w:color="auto" w:fill="FFFFFF"/>
        </w:rPr>
        <w:t>assessment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and radiographic findings using the kappa analysis</w:t>
      </w:r>
      <w:r w:rsidR="003561F5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(k=0.</w:t>
      </w:r>
      <w:r w:rsidR="00025B78" w:rsidRPr="00DD508D">
        <w:rPr>
          <w:rFonts w:cstheme="minorHAnsi"/>
          <w:color w:val="212529"/>
          <w:sz w:val="24"/>
          <w:szCs w:val="24"/>
          <w:shd w:val="clear" w:color="auto" w:fill="FFFFFF"/>
        </w:rPr>
        <w:t>18)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. The first </w:t>
      </w:r>
      <w:r w:rsidR="00424CD2" w:rsidRPr="00DD508D">
        <w:rPr>
          <w:rFonts w:cstheme="minorHAnsi"/>
          <w:color w:val="212529"/>
          <w:sz w:val="24"/>
          <w:szCs w:val="24"/>
          <w:shd w:val="clear" w:color="auto" w:fill="FFFFFF"/>
        </w:rPr>
        <w:t>mandibular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molar showed a comparatively fairer agreement (k= </w:t>
      </w:r>
      <w:r w:rsidR="00C108AF" w:rsidRPr="00DD508D">
        <w:rPr>
          <w:rFonts w:cstheme="minorHAnsi"/>
          <w:color w:val="212529"/>
          <w:sz w:val="24"/>
          <w:szCs w:val="24"/>
          <w:shd w:val="clear" w:color="auto" w:fill="FFFFFF"/>
        </w:rPr>
        <w:t>0.21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>) than the mandibular second molar</w:t>
      </w:r>
      <w:r w:rsid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</w:t>
      </w:r>
      <w:r w:rsidR="005965A3" w:rsidRPr="00DD508D">
        <w:rPr>
          <w:rFonts w:cstheme="minorHAnsi"/>
          <w:color w:val="212529"/>
          <w:sz w:val="24"/>
          <w:szCs w:val="24"/>
          <w:shd w:val="clear" w:color="auto" w:fill="FFFFFF"/>
        </w:rPr>
        <w:t>(k=0.15)</w:t>
      </w:r>
      <w:r w:rsidR="008D778E">
        <w:rPr>
          <w:rFonts w:cstheme="minorHAnsi"/>
          <w:color w:val="212529"/>
          <w:sz w:val="24"/>
          <w:szCs w:val="24"/>
          <w:shd w:val="clear" w:color="auto" w:fill="FFFFFF"/>
        </w:rPr>
        <w:t>. As far as the individual sites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we</w:t>
      </w:r>
      <w:r w:rsidR="005965A3" w:rsidRPr="00DD508D">
        <w:rPr>
          <w:rFonts w:cstheme="minorHAnsi"/>
          <w:color w:val="212529"/>
          <w:sz w:val="24"/>
          <w:szCs w:val="24"/>
          <w:shd w:val="clear" w:color="auto" w:fill="FFFFFF"/>
        </w:rPr>
        <w:t>re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</w:t>
      </w:r>
      <w:r w:rsidR="00424CD2" w:rsidRPr="00DD508D">
        <w:rPr>
          <w:rFonts w:cstheme="minorHAnsi"/>
          <w:color w:val="212529"/>
          <w:sz w:val="24"/>
          <w:szCs w:val="24"/>
          <w:shd w:val="clear" w:color="auto" w:fill="FFFFFF"/>
        </w:rPr>
        <w:t>concerned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the lingual sites</w:t>
      </w:r>
      <w:r w:rsidR="005965A3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(k=0.24)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showed a fairer agreement compared to the </w:t>
      </w:r>
      <w:proofErr w:type="spellStart"/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>buccal</w:t>
      </w:r>
      <w:proofErr w:type="spellEnd"/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 sites which showed only slight agreement. The spearman correlation analysis for the mandibular first molar showed a moderate positive correlation (r=</w:t>
      </w:r>
      <w:r w:rsidR="005965A3" w:rsidRPr="00DD508D">
        <w:rPr>
          <w:rFonts w:cstheme="minorHAnsi"/>
          <w:color w:val="212529"/>
          <w:sz w:val="24"/>
          <w:szCs w:val="24"/>
          <w:shd w:val="clear" w:color="auto" w:fill="FFFFFF"/>
        </w:rPr>
        <w:t>0.4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>, p&lt;</w:t>
      </w:r>
      <w:r w:rsidR="005965A3" w:rsidRPr="00DD508D">
        <w:rPr>
          <w:rFonts w:cstheme="minorHAnsi"/>
          <w:color w:val="212529"/>
          <w:sz w:val="24"/>
          <w:szCs w:val="24"/>
          <w:shd w:val="clear" w:color="auto" w:fill="FFFFFF"/>
        </w:rPr>
        <w:t>0.001</w:t>
      </w:r>
      <w:r w:rsidR="00DD6A57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) compared to mandibular second molar that showed </w:t>
      </w:r>
      <w:r w:rsidR="0054546D" w:rsidRPr="00DD508D">
        <w:rPr>
          <w:rFonts w:cstheme="minorHAnsi"/>
          <w:color w:val="212529"/>
          <w:sz w:val="24"/>
          <w:szCs w:val="24"/>
          <w:shd w:val="clear" w:color="auto" w:fill="FFFFFF"/>
        </w:rPr>
        <w:t xml:space="preserve">none or negligible relationship (r=0.19, p&lt; </w:t>
      </w:r>
      <w:r w:rsidR="005965A3" w:rsidRPr="00DD508D">
        <w:rPr>
          <w:rFonts w:cstheme="minorHAnsi"/>
          <w:color w:val="212529"/>
          <w:sz w:val="24"/>
          <w:szCs w:val="24"/>
          <w:shd w:val="clear" w:color="auto" w:fill="FFFFFF"/>
        </w:rPr>
        <w:t>0.001</w:t>
      </w:r>
      <w:r w:rsidR="0054546D" w:rsidRPr="00DD508D">
        <w:rPr>
          <w:rFonts w:cstheme="minorHAnsi"/>
          <w:color w:val="212529"/>
          <w:sz w:val="24"/>
          <w:szCs w:val="24"/>
          <w:shd w:val="clear" w:color="auto" w:fill="FFFFFF"/>
        </w:rPr>
        <w:t>)</w:t>
      </w:r>
      <w:r w:rsidR="00F62D57" w:rsidRPr="00DD508D">
        <w:rPr>
          <w:rFonts w:cstheme="minorHAnsi"/>
          <w:color w:val="212529"/>
          <w:sz w:val="24"/>
          <w:szCs w:val="24"/>
          <w:shd w:val="clear" w:color="auto" w:fill="FFFFFF"/>
        </w:rPr>
        <w:t>.</w:t>
      </w:r>
    </w:p>
    <w:p w:rsidR="007E0A41" w:rsidRPr="00DD508D" w:rsidRDefault="00673AEF" w:rsidP="00673AEF">
      <w:pPr>
        <w:rPr>
          <w:sz w:val="24"/>
          <w:szCs w:val="24"/>
        </w:rPr>
      </w:pPr>
      <w:r w:rsidRPr="00DD508D">
        <w:rPr>
          <w:rFonts w:cstheme="minorHAnsi"/>
          <w:b/>
          <w:bCs/>
          <w:sz w:val="24"/>
          <w:szCs w:val="24"/>
        </w:rPr>
        <w:t xml:space="preserve">Conclusion: </w:t>
      </w:r>
      <w:r w:rsidR="00CD4172" w:rsidRPr="00DD508D">
        <w:rPr>
          <w:rFonts w:cstheme="minorHAnsi"/>
          <w:bCs/>
          <w:sz w:val="24"/>
          <w:szCs w:val="24"/>
        </w:rPr>
        <w:t xml:space="preserve">Intraoral radiography is a valuable </w:t>
      </w:r>
      <w:r w:rsidR="007E0A41" w:rsidRPr="00DD508D">
        <w:rPr>
          <w:rFonts w:cstheme="minorHAnsi"/>
          <w:bCs/>
          <w:sz w:val="24"/>
          <w:szCs w:val="24"/>
        </w:rPr>
        <w:t>adjunct to clinical assessment for</w:t>
      </w:r>
      <w:r w:rsidR="007E0A41" w:rsidRPr="00DD508D">
        <w:rPr>
          <w:rFonts w:cstheme="minorHAnsi"/>
          <w:sz w:val="24"/>
          <w:szCs w:val="24"/>
        </w:rPr>
        <w:t xml:space="preserve"> diagnosing furcation</w:t>
      </w:r>
      <w:r w:rsidR="007E0A41" w:rsidRPr="00DD508D">
        <w:rPr>
          <w:sz w:val="24"/>
          <w:szCs w:val="24"/>
        </w:rPr>
        <w:t xml:space="preserve"> involvement in mandibular molars</w:t>
      </w:r>
      <w:r w:rsidR="008D7852" w:rsidRPr="00DD508D">
        <w:rPr>
          <w:sz w:val="24"/>
          <w:szCs w:val="24"/>
        </w:rPr>
        <w:t xml:space="preserve"> which warrants further prospective, multicenter studies.</w:t>
      </w:r>
    </w:p>
    <w:p w:rsidR="00DF7801" w:rsidRDefault="00DF7801"/>
    <w:sectPr w:rsidR="00DF7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747B6"/>
    <w:multiLevelType w:val="hybridMultilevel"/>
    <w:tmpl w:val="AE966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4B2345"/>
    <w:multiLevelType w:val="hybridMultilevel"/>
    <w:tmpl w:val="8BF47182"/>
    <w:lvl w:ilvl="0" w:tplc="1C4CE06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1E83B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E4F48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4ECA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2AE41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5CB3C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D6F40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363FD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60AE0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AEF"/>
    <w:rsid w:val="00025B78"/>
    <w:rsid w:val="000A3987"/>
    <w:rsid w:val="000A62D4"/>
    <w:rsid w:val="001F1725"/>
    <w:rsid w:val="003561F5"/>
    <w:rsid w:val="00424CD2"/>
    <w:rsid w:val="004C2302"/>
    <w:rsid w:val="0054546D"/>
    <w:rsid w:val="00581663"/>
    <w:rsid w:val="005965A3"/>
    <w:rsid w:val="00673AEF"/>
    <w:rsid w:val="007E0A41"/>
    <w:rsid w:val="00832436"/>
    <w:rsid w:val="00862D3E"/>
    <w:rsid w:val="008B60B7"/>
    <w:rsid w:val="008D778E"/>
    <w:rsid w:val="008D7852"/>
    <w:rsid w:val="009838DE"/>
    <w:rsid w:val="009E6623"/>
    <w:rsid w:val="00A53177"/>
    <w:rsid w:val="00AD2C8F"/>
    <w:rsid w:val="00C108AF"/>
    <w:rsid w:val="00C53E8D"/>
    <w:rsid w:val="00CD4172"/>
    <w:rsid w:val="00DD508D"/>
    <w:rsid w:val="00DD6A57"/>
    <w:rsid w:val="00DF6E3D"/>
    <w:rsid w:val="00DF7801"/>
    <w:rsid w:val="00F6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AEF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2D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50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5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AEF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2D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50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5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88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9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62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Fazrina Farook</dc:creator>
  <cp:keywords/>
  <dc:description/>
  <cp:lastModifiedBy>Duaa</cp:lastModifiedBy>
  <cp:revision>5</cp:revision>
  <dcterms:created xsi:type="dcterms:W3CDTF">2019-11-22T21:19:00Z</dcterms:created>
  <dcterms:modified xsi:type="dcterms:W3CDTF">2019-11-22T22:17:00Z</dcterms:modified>
</cp:coreProperties>
</file>