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4A3" w:rsidRPr="00BD14A3" w:rsidRDefault="00BD14A3" w:rsidP="00BD14A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D0D0D" w:themeColor="text1" w:themeTint="F2"/>
          <w:sz w:val="32"/>
          <w:szCs w:val="32"/>
        </w:rPr>
      </w:pPr>
      <w:r w:rsidRPr="00BD14A3">
        <w:rPr>
          <w:rFonts w:ascii="Arial" w:hAnsi="Arial" w:cs="Arial"/>
          <w:b/>
          <w:color w:val="0D0D0D" w:themeColor="text1" w:themeTint="F2"/>
          <w:sz w:val="32"/>
          <w:szCs w:val="32"/>
        </w:rPr>
        <w:t>Root canal morphology of mandibular premolars in Tunisian population using</w:t>
      </w:r>
      <w:r>
        <w:rPr>
          <w:rFonts w:ascii="Arial" w:hAnsi="Arial" w:cs="Arial"/>
          <w:b/>
          <w:color w:val="0D0D0D" w:themeColor="text1" w:themeTint="F2"/>
          <w:sz w:val="32"/>
          <w:szCs w:val="32"/>
        </w:rPr>
        <w:t xml:space="preserve"> </w:t>
      </w:r>
      <w:r w:rsidRPr="00BD14A3">
        <w:rPr>
          <w:rFonts w:ascii="Arial" w:hAnsi="Arial" w:cs="Arial"/>
          <w:b/>
          <w:color w:val="0D0D0D" w:themeColor="text1" w:themeTint="F2"/>
          <w:sz w:val="32"/>
          <w:szCs w:val="32"/>
        </w:rPr>
        <w:t>CBCT</w:t>
      </w:r>
    </w:p>
    <w:p w:rsidR="00BD14A3" w:rsidRPr="00BD14A3" w:rsidRDefault="003E3AEE" w:rsidP="00BD14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D0D0D" w:themeColor="text1" w:themeTint="F2"/>
          <w:sz w:val="28"/>
          <w:szCs w:val="28"/>
        </w:rPr>
      </w:pPr>
      <w:r w:rsidRPr="003E3AEE">
        <w:rPr>
          <w:rFonts w:ascii="Arial" w:hAnsi="Arial" w:cs="Arial"/>
          <w:color w:val="0D0D0D" w:themeColor="text1" w:themeTint="F2"/>
          <w:sz w:val="28"/>
          <w:szCs w:val="28"/>
        </w:rPr>
        <w:t>Imen Bougamra</w:t>
      </w:r>
      <w:r>
        <w:rPr>
          <w:rFonts w:ascii="Arial" w:hAnsi="Arial" w:cs="Arial"/>
          <w:color w:val="0D0D0D" w:themeColor="text1" w:themeTint="F2"/>
          <w:sz w:val="28"/>
          <w:szCs w:val="28"/>
        </w:rPr>
        <w:t>,Nesrine Tebbeb,</w:t>
      </w:r>
      <w:r w:rsidR="00BD14A3" w:rsidRPr="00BD14A3">
        <w:rPr>
          <w:rFonts w:ascii="Arial" w:hAnsi="Arial" w:cs="Arial"/>
          <w:color w:val="0D0D0D" w:themeColor="text1" w:themeTint="F2"/>
          <w:sz w:val="28"/>
          <w:szCs w:val="28"/>
        </w:rPr>
        <w:t>Sonia Zouiten, Abdellatif Boughzala</w:t>
      </w:r>
    </w:p>
    <w:p w:rsidR="00BD14A3" w:rsidRDefault="00BD14A3" w:rsidP="00BD14A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D0D0D" w:themeColor="text1" w:themeTint="F2"/>
          <w:sz w:val="28"/>
          <w:szCs w:val="28"/>
        </w:rPr>
      </w:pPr>
      <w:r w:rsidRPr="00BD14A3">
        <w:rPr>
          <w:rFonts w:ascii="Arial" w:hAnsi="Arial" w:cs="Arial"/>
          <w:color w:val="0D0D0D" w:themeColor="text1" w:themeTint="F2"/>
          <w:sz w:val="28"/>
          <w:szCs w:val="28"/>
        </w:rPr>
        <w:t>Department of dentistry,University Hospital Farhat Hached,Souse,Tunisia</w:t>
      </w:r>
    </w:p>
    <w:p w:rsidR="00BD14A3" w:rsidRPr="00BD14A3" w:rsidRDefault="00BD14A3" w:rsidP="00BD14A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D0D0D" w:themeColor="text1" w:themeTint="F2"/>
          <w:sz w:val="28"/>
          <w:szCs w:val="28"/>
        </w:rPr>
      </w:pPr>
    </w:p>
    <w:p w:rsidR="00BD14A3" w:rsidRPr="00BD14A3" w:rsidRDefault="00BD14A3" w:rsidP="00BD14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D0D0D" w:themeColor="text1" w:themeTint="F2"/>
          <w:sz w:val="28"/>
          <w:szCs w:val="28"/>
        </w:rPr>
      </w:pPr>
      <w:r w:rsidRPr="00BD14A3">
        <w:rPr>
          <w:rFonts w:ascii="Arial" w:hAnsi="Arial" w:cs="Arial"/>
          <w:b/>
          <w:color w:val="0D0D0D" w:themeColor="text1" w:themeTint="F2"/>
          <w:sz w:val="28"/>
          <w:szCs w:val="28"/>
          <w:u w:val="single"/>
        </w:rPr>
        <w:t>Aim:</w:t>
      </w:r>
      <w:r w:rsidRPr="00BD14A3">
        <w:rPr>
          <w:rFonts w:ascii="Arial" w:hAnsi="Arial" w:cs="Arial"/>
          <w:color w:val="0D0D0D" w:themeColor="text1" w:themeTint="F2"/>
          <w:sz w:val="28"/>
          <w:szCs w:val="28"/>
        </w:rPr>
        <w:t xml:space="preserve"> Traditional radiography is limited </w:t>
      </w:r>
      <w:r>
        <w:rPr>
          <w:rFonts w:ascii="Arial" w:hAnsi="Arial" w:cs="Arial"/>
          <w:color w:val="0D0D0D" w:themeColor="text1" w:themeTint="F2"/>
          <w:sz w:val="28"/>
          <w:szCs w:val="28"/>
        </w:rPr>
        <w:t xml:space="preserve">in its ability to give reliable </w:t>
      </w:r>
      <w:r w:rsidRPr="00BD14A3">
        <w:rPr>
          <w:rFonts w:ascii="Arial" w:hAnsi="Arial" w:cs="Arial"/>
          <w:color w:val="0D0D0D" w:themeColor="text1" w:themeTint="F2"/>
          <w:sz w:val="28"/>
          <w:szCs w:val="28"/>
        </w:rPr>
        <w:t>information on the number and morphology</w:t>
      </w:r>
      <w:r>
        <w:rPr>
          <w:rFonts w:ascii="Arial" w:hAnsi="Arial" w:cs="Arial"/>
          <w:color w:val="0D0D0D" w:themeColor="text1" w:themeTint="F2"/>
          <w:sz w:val="28"/>
          <w:szCs w:val="28"/>
        </w:rPr>
        <w:t xml:space="preserve"> </w:t>
      </w:r>
      <w:r w:rsidRPr="00BD14A3">
        <w:rPr>
          <w:rFonts w:ascii="Arial" w:hAnsi="Arial" w:cs="Arial"/>
          <w:color w:val="0D0D0D" w:themeColor="text1" w:themeTint="F2"/>
          <w:sz w:val="28"/>
          <w:szCs w:val="28"/>
        </w:rPr>
        <w:t>of root canals. The application of conebeam</w:t>
      </w:r>
      <w:r>
        <w:rPr>
          <w:rFonts w:ascii="Arial" w:hAnsi="Arial" w:cs="Arial"/>
          <w:color w:val="0D0D0D" w:themeColor="text1" w:themeTint="F2"/>
          <w:sz w:val="28"/>
          <w:szCs w:val="28"/>
        </w:rPr>
        <w:t xml:space="preserve"> </w:t>
      </w:r>
      <w:r w:rsidRPr="00BD14A3">
        <w:rPr>
          <w:rFonts w:ascii="Arial" w:hAnsi="Arial" w:cs="Arial"/>
          <w:color w:val="0D0D0D" w:themeColor="text1" w:themeTint="F2"/>
          <w:sz w:val="28"/>
          <w:szCs w:val="28"/>
        </w:rPr>
        <w:t>computed tomography (CBCT) provides a noninvasive</w:t>
      </w:r>
      <w:r>
        <w:rPr>
          <w:rFonts w:ascii="Arial" w:hAnsi="Arial" w:cs="Arial"/>
          <w:color w:val="0D0D0D" w:themeColor="text1" w:themeTint="F2"/>
          <w:sz w:val="28"/>
          <w:szCs w:val="28"/>
        </w:rPr>
        <w:t xml:space="preserve"> </w:t>
      </w:r>
      <w:r w:rsidRPr="00BD14A3">
        <w:rPr>
          <w:rFonts w:ascii="Arial" w:hAnsi="Arial" w:cs="Arial"/>
          <w:color w:val="0D0D0D" w:themeColor="text1" w:themeTint="F2"/>
          <w:sz w:val="28"/>
          <w:szCs w:val="28"/>
        </w:rPr>
        <w:t>threedimensional</w:t>
      </w:r>
      <w:r>
        <w:rPr>
          <w:rFonts w:ascii="Arial" w:hAnsi="Arial" w:cs="Arial"/>
          <w:color w:val="0D0D0D" w:themeColor="text1" w:themeTint="F2"/>
          <w:sz w:val="28"/>
          <w:szCs w:val="28"/>
        </w:rPr>
        <w:t xml:space="preserve"> </w:t>
      </w:r>
      <w:r w:rsidRPr="00BD14A3">
        <w:rPr>
          <w:rFonts w:ascii="Arial" w:hAnsi="Arial" w:cs="Arial"/>
          <w:color w:val="0D0D0D" w:themeColor="text1" w:themeTint="F2"/>
          <w:sz w:val="28"/>
          <w:szCs w:val="28"/>
        </w:rPr>
        <w:t>confirmatory diagnosis as a complement to conventional radiography. The aim of this study was</w:t>
      </w:r>
    </w:p>
    <w:p w:rsidR="00BD14A3" w:rsidRPr="00BD14A3" w:rsidRDefault="00BD14A3" w:rsidP="00BD14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D0D0D" w:themeColor="text1" w:themeTint="F2"/>
          <w:sz w:val="28"/>
          <w:szCs w:val="28"/>
        </w:rPr>
      </w:pPr>
      <w:r w:rsidRPr="00BD14A3">
        <w:rPr>
          <w:rFonts w:ascii="Arial" w:hAnsi="Arial" w:cs="Arial"/>
          <w:color w:val="0D0D0D" w:themeColor="text1" w:themeTint="F2"/>
          <w:sz w:val="28"/>
          <w:szCs w:val="28"/>
        </w:rPr>
        <w:t>to evaluate the root and canal morphology of mandibular premolars in Tunisian population using CBCT</w:t>
      </w:r>
      <w:r>
        <w:rPr>
          <w:rFonts w:ascii="Arial" w:hAnsi="Arial" w:cs="Arial"/>
          <w:color w:val="0D0D0D" w:themeColor="text1" w:themeTint="F2"/>
          <w:sz w:val="28"/>
          <w:szCs w:val="28"/>
        </w:rPr>
        <w:t xml:space="preserve"> </w:t>
      </w:r>
      <w:r w:rsidRPr="00BD14A3">
        <w:rPr>
          <w:rFonts w:ascii="Arial" w:hAnsi="Arial" w:cs="Arial"/>
          <w:color w:val="0D0D0D" w:themeColor="text1" w:themeTint="F2"/>
          <w:sz w:val="28"/>
          <w:szCs w:val="28"/>
        </w:rPr>
        <w:t>scanning.</w:t>
      </w:r>
    </w:p>
    <w:p w:rsidR="00BD14A3" w:rsidRPr="00BD14A3" w:rsidRDefault="00BD14A3" w:rsidP="00BD14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D0D0D" w:themeColor="text1" w:themeTint="F2"/>
          <w:sz w:val="28"/>
          <w:szCs w:val="28"/>
          <w:u w:val="single"/>
        </w:rPr>
      </w:pPr>
      <w:r w:rsidRPr="00BD14A3">
        <w:rPr>
          <w:rFonts w:ascii="Arial" w:hAnsi="Arial" w:cs="Arial"/>
          <w:b/>
          <w:color w:val="0D0D0D" w:themeColor="text1" w:themeTint="F2"/>
          <w:sz w:val="28"/>
          <w:szCs w:val="28"/>
          <w:u w:val="single"/>
        </w:rPr>
        <w:t>MaterialsMethods:</w:t>
      </w:r>
    </w:p>
    <w:p w:rsidR="00BD14A3" w:rsidRPr="00BD14A3" w:rsidRDefault="00BD14A3" w:rsidP="00BD14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D0D0D" w:themeColor="text1" w:themeTint="F2"/>
          <w:sz w:val="28"/>
          <w:szCs w:val="28"/>
        </w:rPr>
      </w:pPr>
      <w:r w:rsidRPr="00BD14A3">
        <w:rPr>
          <w:rFonts w:ascii="Arial" w:hAnsi="Arial" w:cs="Arial"/>
          <w:color w:val="0D0D0D" w:themeColor="text1" w:themeTint="F2"/>
          <w:sz w:val="28"/>
          <w:szCs w:val="28"/>
        </w:rPr>
        <w:t>The sample included 64 CBCT images comprising 98 mandibular first premolars and 98</w:t>
      </w:r>
      <w:r>
        <w:rPr>
          <w:rFonts w:ascii="Arial" w:hAnsi="Arial" w:cs="Arial"/>
          <w:color w:val="0D0D0D" w:themeColor="text1" w:themeTint="F2"/>
          <w:sz w:val="28"/>
          <w:szCs w:val="28"/>
        </w:rPr>
        <w:t xml:space="preserve"> </w:t>
      </w:r>
      <w:r w:rsidRPr="00BD14A3">
        <w:rPr>
          <w:rFonts w:ascii="Arial" w:hAnsi="Arial" w:cs="Arial"/>
          <w:color w:val="0D0D0D" w:themeColor="text1" w:themeTint="F2"/>
          <w:sz w:val="28"/>
          <w:szCs w:val="28"/>
        </w:rPr>
        <w:t>second premolars. The number of roots and canal configuration according to Vertucci’s classification were</w:t>
      </w:r>
      <w:r>
        <w:rPr>
          <w:rFonts w:ascii="Arial" w:hAnsi="Arial" w:cs="Arial"/>
          <w:color w:val="0D0D0D" w:themeColor="text1" w:themeTint="F2"/>
          <w:sz w:val="28"/>
          <w:szCs w:val="28"/>
        </w:rPr>
        <w:t xml:space="preserve"> </w:t>
      </w:r>
      <w:r w:rsidRPr="00BD14A3">
        <w:rPr>
          <w:rFonts w:ascii="Arial" w:hAnsi="Arial" w:cs="Arial"/>
          <w:color w:val="0D0D0D" w:themeColor="text1" w:themeTint="F2"/>
          <w:sz w:val="28"/>
          <w:szCs w:val="28"/>
        </w:rPr>
        <w:t>recorded.</w:t>
      </w:r>
    </w:p>
    <w:p w:rsidR="00BD14A3" w:rsidRPr="00BD14A3" w:rsidRDefault="00BD14A3" w:rsidP="00BD14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D0D0D" w:themeColor="text1" w:themeTint="F2"/>
          <w:sz w:val="28"/>
          <w:szCs w:val="28"/>
        </w:rPr>
      </w:pPr>
      <w:r w:rsidRPr="00BD14A3">
        <w:rPr>
          <w:rFonts w:ascii="Arial" w:hAnsi="Arial" w:cs="Arial"/>
          <w:b/>
          <w:color w:val="0D0D0D" w:themeColor="text1" w:themeTint="F2"/>
          <w:sz w:val="28"/>
          <w:szCs w:val="28"/>
          <w:u w:val="single"/>
        </w:rPr>
        <w:t>Results</w:t>
      </w:r>
      <w:r w:rsidRPr="00BD14A3">
        <w:rPr>
          <w:rFonts w:ascii="Arial" w:hAnsi="Arial" w:cs="Arial"/>
          <w:color w:val="0D0D0D" w:themeColor="text1" w:themeTint="F2"/>
          <w:sz w:val="28"/>
          <w:szCs w:val="28"/>
        </w:rPr>
        <w:t>: The results showed that 100% of mandibular first premolars had one root; 86% had type I canal</w:t>
      </w:r>
      <w:r>
        <w:rPr>
          <w:rFonts w:ascii="Arial" w:hAnsi="Arial" w:cs="Arial"/>
          <w:color w:val="0D0D0D" w:themeColor="text1" w:themeTint="F2"/>
          <w:sz w:val="28"/>
          <w:szCs w:val="28"/>
        </w:rPr>
        <w:t xml:space="preserve"> </w:t>
      </w:r>
      <w:r w:rsidRPr="00BD14A3">
        <w:rPr>
          <w:rFonts w:ascii="Arial" w:hAnsi="Arial" w:cs="Arial"/>
          <w:color w:val="0D0D0D" w:themeColor="text1" w:themeTint="F2"/>
          <w:sz w:val="28"/>
          <w:szCs w:val="28"/>
        </w:rPr>
        <w:t>configuration, 3% had type III,9% had type V and 2% had type VI. All mandibular second premolars had one</w:t>
      </w:r>
      <w:r>
        <w:rPr>
          <w:rFonts w:ascii="Arial" w:hAnsi="Arial" w:cs="Arial"/>
          <w:color w:val="0D0D0D" w:themeColor="text1" w:themeTint="F2"/>
          <w:sz w:val="28"/>
          <w:szCs w:val="28"/>
        </w:rPr>
        <w:t xml:space="preserve"> </w:t>
      </w:r>
      <w:r w:rsidRPr="00BD14A3">
        <w:rPr>
          <w:rFonts w:ascii="Arial" w:hAnsi="Arial" w:cs="Arial"/>
          <w:color w:val="0D0D0D" w:themeColor="text1" w:themeTint="F2"/>
          <w:sz w:val="28"/>
          <w:szCs w:val="28"/>
        </w:rPr>
        <w:t>root; 93 % had type I canal configuration, 2 % had type II, 1% had type III,2% had type V and 2% had type</w:t>
      </w:r>
      <w:r>
        <w:rPr>
          <w:rFonts w:ascii="Arial" w:hAnsi="Arial" w:cs="Arial"/>
          <w:color w:val="0D0D0D" w:themeColor="text1" w:themeTint="F2"/>
          <w:sz w:val="28"/>
          <w:szCs w:val="28"/>
        </w:rPr>
        <w:t xml:space="preserve"> </w:t>
      </w:r>
      <w:r w:rsidRPr="00BD14A3">
        <w:rPr>
          <w:rFonts w:ascii="Arial" w:hAnsi="Arial" w:cs="Arial"/>
          <w:color w:val="0D0D0D" w:themeColor="text1" w:themeTint="F2"/>
          <w:sz w:val="28"/>
          <w:szCs w:val="28"/>
        </w:rPr>
        <w:t>VI.</w:t>
      </w:r>
    </w:p>
    <w:p w:rsidR="00BD14A3" w:rsidRPr="00BD14A3" w:rsidRDefault="00BD14A3" w:rsidP="00BD14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D0D0D" w:themeColor="text1" w:themeTint="F2"/>
          <w:sz w:val="28"/>
          <w:szCs w:val="28"/>
        </w:rPr>
      </w:pPr>
      <w:r w:rsidRPr="00BD14A3">
        <w:rPr>
          <w:rFonts w:ascii="Arial" w:hAnsi="Arial" w:cs="Arial"/>
          <w:b/>
          <w:color w:val="0D0D0D" w:themeColor="text1" w:themeTint="F2"/>
          <w:sz w:val="28"/>
          <w:szCs w:val="28"/>
          <w:u w:val="single"/>
        </w:rPr>
        <w:t>Conclusions:</w:t>
      </w:r>
      <w:r w:rsidRPr="00BD14A3">
        <w:rPr>
          <w:rFonts w:ascii="Arial" w:hAnsi="Arial" w:cs="Arial"/>
          <w:color w:val="0D0D0D" w:themeColor="text1" w:themeTint="F2"/>
          <w:sz w:val="28"/>
          <w:szCs w:val="28"/>
        </w:rPr>
        <w:t xml:space="preserve"> The prevalence of multiple canals in mandibular first premolars was mainly of Type V, and</w:t>
      </w:r>
    </w:p>
    <w:p w:rsidR="00BD14A3" w:rsidRPr="00BD14A3" w:rsidRDefault="00BD14A3" w:rsidP="00BD14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D0D0D" w:themeColor="text1" w:themeTint="F2"/>
          <w:sz w:val="28"/>
          <w:szCs w:val="28"/>
        </w:rPr>
      </w:pPr>
      <w:r w:rsidRPr="00BD14A3">
        <w:rPr>
          <w:rFonts w:ascii="Arial" w:hAnsi="Arial" w:cs="Arial"/>
          <w:color w:val="0D0D0D" w:themeColor="text1" w:themeTint="F2"/>
          <w:sz w:val="28"/>
          <w:szCs w:val="28"/>
        </w:rPr>
        <w:t>mandibular second premolars had a low rate of canal variation in Tunisian population. CBCT scanning can be</w:t>
      </w:r>
      <w:r>
        <w:rPr>
          <w:rFonts w:ascii="Arial" w:hAnsi="Arial" w:cs="Arial"/>
          <w:color w:val="0D0D0D" w:themeColor="text1" w:themeTint="F2"/>
          <w:sz w:val="28"/>
          <w:szCs w:val="28"/>
        </w:rPr>
        <w:t xml:space="preserve"> </w:t>
      </w:r>
      <w:r w:rsidRPr="00BD14A3">
        <w:rPr>
          <w:rFonts w:ascii="Arial" w:hAnsi="Arial" w:cs="Arial"/>
          <w:color w:val="0D0D0D" w:themeColor="text1" w:themeTint="F2"/>
          <w:sz w:val="28"/>
          <w:szCs w:val="28"/>
        </w:rPr>
        <w:t>used in the management of mandibular premolars with complex canal morphology.</w:t>
      </w:r>
    </w:p>
    <w:p w:rsidR="00ED2CDD" w:rsidRPr="00BD14A3" w:rsidRDefault="00BD14A3" w:rsidP="00BD14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D0D0D" w:themeColor="text1" w:themeTint="F2"/>
          <w:sz w:val="28"/>
          <w:szCs w:val="28"/>
        </w:rPr>
      </w:pPr>
      <w:r w:rsidRPr="00BD14A3">
        <w:rPr>
          <w:rFonts w:ascii="Arial" w:hAnsi="Arial" w:cs="Arial"/>
          <w:b/>
          <w:color w:val="0D0D0D" w:themeColor="text1" w:themeTint="F2"/>
          <w:sz w:val="28"/>
          <w:szCs w:val="28"/>
          <w:u w:val="single"/>
        </w:rPr>
        <w:t>Keywords</w:t>
      </w:r>
      <w:r w:rsidRPr="00BD14A3">
        <w:rPr>
          <w:rFonts w:ascii="Arial" w:hAnsi="Arial" w:cs="Arial"/>
          <w:color w:val="0D0D0D" w:themeColor="text1" w:themeTint="F2"/>
          <w:sz w:val="28"/>
          <w:szCs w:val="28"/>
        </w:rPr>
        <w:t>: Conebeam</w:t>
      </w:r>
      <w:r>
        <w:rPr>
          <w:rFonts w:ascii="Arial" w:hAnsi="Arial" w:cs="Arial"/>
          <w:color w:val="0D0D0D" w:themeColor="text1" w:themeTint="F2"/>
          <w:sz w:val="28"/>
          <w:szCs w:val="28"/>
        </w:rPr>
        <w:t xml:space="preserve"> </w:t>
      </w:r>
      <w:r w:rsidRPr="00BD14A3">
        <w:rPr>
          <w:rFonts w:ascii="Arial" w:hAnsi="Arial" w:cs="Arial"/>
          <w:color w:val="0D0D0D" w:themeColor="text1" w:themeTint="F2"/>
          <w:sz w:val="28"/>
          <w:szCs w:val="28"/>
        </w:rPr>
        <w:t>computed tomography, Mandibular premolars, Root canal configuration</w:t>
      </w:r>
    </w:p>
    <w:sectPr w:rsidR="00ED2CDD" w:rsidRPr="00BD14A3" w:rsidSect="00ED2C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08"/>
  <w:hyphenationZone w:val="425"/>
  <w:characterSpacingControl w:val="doNotCompress"/>
  <w:compat/>
  <w:rsids>
    <w:rsidRoot w:val="00CE0012"/>
    <w:rsid w:val="003E3AEE"/>
    <w:rsid w:val="005D7454"/>
    <w:rsid w:val="00677F8C"/>
    <w:rsid w:val="00AB563F"/>
    <w:rsid w:val="00BD14A3"/>
    <w:rsid w:val="00CE0012"/>
    <w:rsid w:val="00ED2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CD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Utilisateur Windows</cp:lastModifiedBy>
  <cp:revision>2</cp:revision>
  <dcterms:created xsi:type="dcterms:W3CDTF">2018-02-12T18:56:00Z</dcterms:created>
  <dcterms:modified xsi:type="dcterms:W3CDTF">2018-02-12T18:56:00Z</dcterms:modified>
</cp:coreProperties>
</file>