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1F414A">
      <w:pPr>
        <w:jc w:val="both"/>
        <w:rPr>
          <w:sz w:val="22"/>
          <w:szCs w:val="22"/>
          <w:lang w:val="en-GB"/>
        </w:rPr>
      </w:pPr>
      <w:r>
        <w:rPr>
          <w:sz w:val="22"/>
          <w:szCs w:val="22"/>
          <w:lang w:val="en-GB"/>
        </w:rPr>
        <w:t xml:space="preserve">                                                                                                                       </w:t>
      </w:r>
      <w:r w:rsidR="00E54F1E">
        <w:rPr>
          <w:rFonts w:ascii="Arial" w:hAnsi="Arial" w:cs="Arial"/>
          <w:noProof/>
          <w:color w:val="001BA0"/>
          <w:sz w:val="20"/>
          <w:szCs w:val="20"/>
          <w:lang w:val="en-US" w:eastAsia="en-US"/>
        </w:rPr>
        <w:drawing>
          <wp:inline distT="0" distB="0" distL="0" distR="0">
            <wp:extent cx="1341755" cy="1412875"/>
            <wp:effectExtent l="0" t="0" r="0" b="0"/>
            <wp:docPr id="6" name="emb2538736F" descr="Image result for saurin popat">
              <a:hlinkClick xmlns:a="http://schemas.openxmlformats.org/drawingml/2006/main" r:id="rId9" tooltip="&quot;Search images of saurin popa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2538736F" descr="Image result for saurin popat">
                      <a:hlinkClick r:id="rId9" tooltip="&quot;Search images of saurin popat&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41755" cy="1412875"/>
                    </a:xfrm>
                    <a:prstGeom prst="rect">
                      <a:avLst/>
                    </a:prstGeom>
                    <a:noFill/>
                    <a:ln>
                      <a:noFill/>
                    </a:ln>
                  </pic:spPr>
                </pic:pic>
              </a:graphicData>
            </a:graphic>
          </wp:inline>
        </w:drawing>
      </w:r>
    </w:p>
    <w:p w:rsidR="00E54F1E" w:rsidRDefault="00E54F1E" w:rsidP="00EF7F63">
      <w:pPr>
        <w:rPr>
          <w:rFonts w:eastAsia="MS PGothic"/>
          <w:b/>
          <w:color w:val="000000"/>
          <w:sz w:val="28"/>
          <w:szCs w:val="28"/>
          <w:u w:val="single"/>
        </w:rPr>
      </w:pPr>
    </w:p>
    <w:p w:rsidR="00EF7F63" w:rsidRDefault="00AC3BCD" w:rsidP="00EF7F63">
      <w:pPr>
        <w:rPr>
          <w:rFonts w:eastAsia="MS PGothic"/>
          <w:b/>
          <w:color w:val="000000"/>
          <w:sz w:val="28"/>
          <w:szCs w:val="28"/>
        </w:rPr>
      </w:pPr>
      <w:r w:rsidRPr="00682E6A">
        <w:rPr>
          <w:rFonts w:eastAsia="MS PGothic"/>
          <w:b/>
          <w:color w:val="000000"/>
          <w:sz w:val="28"/>
          <w:szCs w:val="28"/>
          <w:u w:val="single"/>
        </w:rPr>
        <w:t>Title:</w:t>
      </w:r>
      <w:r w:rsidRPr="00EF7F63">
        <w:rPr>
          <w:rFonts w:eastAsia="MS PGothic"/>
          <w:color w:val="000000"/>
          <w:sz w:val="28"/>
          <w:szCs w:val="28"/>
        </w:rPr>
        <w:t xml:space="preserve"> </w:t>
      </w:r>
      <w:r w:rsidR="00EF7F63">
        <w:rPr>
          <w:rFonts w:eastAsia="MS PGothic"/>
          <w:b/>
          <w:color w:val="000000"/>
          <w:sz w:val="28"/>
          <w:szCs w:val="28"/>
        </w:rPr>
        <w:t>Use of Induction Chemotherapy for Advanced Stage Oral Cavity Squamous Cell Carcinoma</w:t>
      </w:r>
    </w:p>
    <w:p w:rsidR="00EF7F63" w:rsidRDefault="00EF7F63" w:rsidP="00EF7F63">
      <w:pPr>
        <w:jc w:val="center"/>
        <w:rPr>
          <w:rFonts w:eastAsia="MS PGothic"/>
          <w:b/>
          <w:color w:val="000000"/>
          <w:sz w:val="28"/>
          <w:szCs w:val="28"/>
        </w:rPr>
      </w:pPr>
    </w:p>
    <w:p w:rsidR="00AC3BCD" w:rsidRPr="00EF7F63" w:rsidRDefault="00AC3BCD" w:rsidP="00EF7F63">
      <w:pPr>
        <w:jc w:val="center"/>
        <w:rPr>
          <w:rFonts w:eastAsia="MS PGothic"/>
          <w:b/>
          <w:color w:val="000000"/>
          <w:sz w:val="28"/>
          <w:szCs w:val="28"/>
        </w:rPr>
      </w:pPr>
      <w:r>
        <w:rPr>
          <w:rFonts w:eastAsia="MS PGothic" w:hAnsi="Arial"/>
          <w:color w:val="000000"/>
        </w:rPr>
        <w:t>Name:</w:t>
      </w:r>
      <w:r w:rsidR="00EF7F63" w:rsidRPr="00EF7F63">
        <w:rPr>
          <w:rFonts w:eastAsia="MS PGothic" w:hAnsi="Arial"/>
          <w:b/>
          <w:color w:val="000000"/>
        </w:rPr>
        <w:t>Saurin R. Popat, MD, MBA, FRCSC, FACS</w:t>
      </w:r>
    </w:p>
    <w:p w:rsidR="00EF7F63" w:rsidRPr="00EF7F63" w:rsidRDefault="00EF7F63" w:rsidP="00EF7F63">
      <w:pPr>
        <w:jc w:val="center"/>
        <w:rPr>
          <w:sz w:val="28"/>
          <w:szCs w:val="28"/>
        </w:rPr>
      </w:pPr>
      <w:r w:rsidRPr="00EF7F63">
        <w:rPr>
          <w:sz w:val="28"/>
          <w:szCs w:val="28"/>
        </w:rPr>
        <w:t>Comprehensive Head and Neck Center (CHANCe)</w:t>
      </w:r>
    </w:p>
    <w:p w:rsidR="00EF7F63" w:rsidRPr="00EF7F63" w:rsidRDefault="00EF7F63" w:rsidP="00EF7F63">
      <w:pPr>
        <w:jc w:val="center"/>
        <w:rPr>
          <w:sz w:val="28"/>
          <w:szCs w:val="28"/>
        </w:rPr>
      </w:pPr>
      <w:r w:rsidRPr="00EF7F63">
        <w:rPr>
          <w:sz w:val="28"/>
          <w:szCs w:val="28"/>
        </w:rPr>
        <w:t>Departments of Otolaryngology – Head &amp; Neck Surgery and Dentistry</w:t>
      </w:r>
    </w:p>
    <w:p w:rsidR="00AC3BCD" w:rsidRPr="00EF7F63" w:rsidRDefault="00EF7F63" w:rsidP="00EF7F63">
      <w:pPr>
        <w:jc w:val="center"/>
        <w:rPr>
          <w:sz w:val="28"/>
          <w:szCs w:val="28"/>
        </w:rPr>
      </w:pPr>
      <w:r w:rsidRPr="00EF7F63">
        <w:rPr>
          <w:sz w:val="28"/>
          <w:szCs w:val="28"/>
        </w:rPr>
        <w:t>University of Buffalo School of Medicine &amp; dentistry</w:t>
      </w:r>
    </w:p>
    <w:p w:rsidR="00EF7F63" w:rsidRPr="00EF7F63" w:rsidRDefault="00EF7F63" w:rsidP="00EF7F63">
      <w:pPr>
        <w:jc w:val="center"/>
        <w:rPr>
          <w:rFonts w:eastAsia="MS PGothic" w:hAnsi="Arial"/>
          <w:color w:val="000000"/>
        </w:rPr>
      </w:pPr>
      <w:r w:rsidRPr="00EF7F63">
        <w:rPr>
          <w:sz w:val="28"/>
          <w:szCs w:val="28"/>
        </w:rPr>
        <w:t>Buffalo, New York, USA, 14209</w:t>
      </w:r>
    </w:p>
    <w:p w:rsidR="00AC3BCD" w:rsidRDefault="00AC3BCD" w:rsidP="00EF7F63">
      <w:pPr>
        <w:jc w:val="center"/>
        <w:rPr>
          <w:rFonts w:eastAsia="Batang"/>
          <w:color w:val="0000FF"/>
          <w:sz w:val="36"/>
          <w:szCs w:val="36"/>
        </w:rPr>
      </w:pPr>
    </w:p>
    <w:p w:rsidR="00EF7F63" w:rsidRDefault="00EF7F63" w:rsidP="00682E6A">
      <w:pPr>
        <w:jc w:val="both"/>
        <w:rPr>
          <w:rFonts w:eastAsia="MS PGothic"/>
          <w:color w:val="000000"/>
          <w:szCs w:val="32"/>
        </w:rPr>
      </w:pPr>
      <w:r>
        <w:rPr>
          <w:rFonts w:eastAsia="MS PGothic"/>
          <w:color w:val="000000"/>
          <w:szCs w:val="32"/>
        </w:rPr>
        <w:t>Oral cavity  squamous cell carcinoma (OC-SCCa) accounts for  nearly 1/3 of all head and neck squamous cell cancers in the US however with significant international geographic variation due to carcinogen exposure and availability. The mainstay</w:t>
      </w:r>
      <w:r w:rsidR="00682E6A">
        <w:rPr>
          <w:rFonts w:eastAsia="MS PGothic"/>
          <w:color w:val="000000"/>
          <w:szCs w:val="32"/>
        </w:rPr>
        <w:t xml:space="preserve"> </w:t>
      </w:r>
      <w:r>
        <w:rPr>
          <w:rFonts w:eastAsia="MS PGothic"/>
          <w:color w:val="000000"/>
          <w:szCs w:val="32"/>
        </w:rPr>
        <w:t xml:space="preserve">of treatment for resectable disease had been surgery with postoperative radiation based on specific clinical and pathologic features.   Survival rates have little improved prior to the use of concurrent postoperative chemoradition.   Since 2009, </w:t>
      </w:r>
      <w:bookmarkStart w:id="0" w:name="_GoBack"/>
      <w:r>
        <w:rPr>
          <w:rFonts w:eastAsia="MS PGothic"/>
          <w:color w:val="000000"/>
          <w:szCs w:val="32"/>
        </w:rPr>
        <w:t>we have employed induction chemotherapy</w:t>
      </w:r>
      <w:r w:rsidR="00682E6A">
        <w:rPr>
          <w:rFonts w:eastAsia="MS PGothic"/>
          <w:color w:val="000000"/>
          <w:szCs w:val="32"/>
        </w:rPr>
        <w:t xml:space="preserve"> (ICT) </w:t>
      </w:r>
      <w:r>
        <w:rPr>
          <w:rFonts w:eastAsia="MS PGothic"/>
          <w:color w:val="000000"/>
          <w:szCs w:val="32"/>
        </w:rPr>
        <w:t xml:space="preserve"> as an option to be added to the comprehensive </w:t>
      </w:r>
      <w:bookmarkEnd w:id="0"/>
      <w:r>
        <w:rPr>
          <w:rFonts w:eastAsia="MS PGothic"/>
          <w:color w:val="000000"/>
          <w:szCs w:val="32"/>
        </w:rPr>
        <w:t xml:space="preserve">treatment of OC-SCCa. A review of our </w:t>
      </w:r>
      <w:r w:rsidR="00682E6A">
        <w:rPr>
          <w:rFonts w:eastAsia="MS PGothic"/>
          <w:color w:val="000000"/>
          <w:szCs w:val="32"/>
        </w:rPr>
        <w:t>outcomes was conducted.</w:t>
      </w:r>
    </w:p>
    <w:p w:rsidR="00EF7F63" w:rsidRDefault="00EF7F63" w:rsidP="00EF7F63">
      <w:pPr>
        <w:jc w:val="both"/>
        <w:rPr>
          <w:rFonts w:eastAsia="MS PGothic"/>
          <w:color w:val="000000"/>
          <w:szCs w:val="32"/>
        </w:rPr>
      </w:pPr>
    </w:p>
    <w:p w:rsidR="00183863" w:rsidRDefault="00EF7F63" w:rsidP="00EF7F63">
      <w:pPr>
        <w:jc w:val="both"/>
        <w:rPr>
          <w:rFonts w:eastAsia="MS PGothic"/>
          <w:color w:val="000000"/>
          <w:szCs w:val="32"/>
        </w:rPr>
      </w:pPr>
      <w:r w:rsidRPr="00682E6A">
        <w:rPr>
          <w:rFonts w:eastAsia="MS PGothic"/>
          <w:color w:val="000000"/>
          <w:szCs w:val="32"/>
          <w:u w:val="single"/>
        </w:rPr>
        <w:t>Patients/Methods:</w:t>
      </w:r>
      <w:r>
        <w:rPr>
          <w:rFonts w:eastAsia="MS PGothic"/>
          <w:color w:val="000000"/>
          <w:szCs w:val="32"/>
        </w:rPr>
        <w:t xml:space="preserve">  Retrospective review </w:t>
      </w:r>
      <w:r w:rsidR="00183863">
        <w:rPr>
          <w:rFonts w:eastAsia="MS PGothic"/>
          <w:color w:val="000000"/>
          <w:szCs w:val="32"/>
        </w:rPr>
        <w:t xml:space="preserve">from 2010 -2015 </w:t>
      </w:r>
      <w:r>
        <w:rPr>
          <w:rFonts w:eastAsia="MS PGothic"/>
          <w:color w:val="000000"/>
          <w:szCs w:val="32"/>
        </w:rPr>
        <w:t xml:space="preserve">of </w:t>
      </w:r>
      <w:r w:rsidR="00682E6A">
        <w:rPr>
          <w:rFonts w:eastAsia="MS PGothic"/>
          <w:color w:val="000000"/>
          <w:szCs w:val="32"/>
        </w:rPr>
        <w:t xml:space="preserve"> patients with </w:t>
      </w:r>
      <w:r>
        <w:rPr>
          <w:rFonts w:eastAsia="MS PGothic"/>
          <w:color w:val="000000"/>
          <w:szCs w:val="32"/>
        </w:rPr>
        <w:t xml:space="preserve">stage IV OC-SCCa with minimal 24 month follow-up </w:t>
      </w:r>
      <w:r w:rsidR="00682E6A">
        <w:rPr>
          <w:rFonts w:eastAsia="MS PGothic"/>
          <w:color w:val="000000"/>
          <w:szCs w:val="32"/>
        </w:rPr>
        <w:t xml:space="preserve">who </w:t>
      </w:r>
      <w:r>
        <w:rPr>
          <w:rFonts w:eastAsia="MS PGothic"/>
          <w:color w:val="000000"/>
          <w:szCs w:val="32"/>
        </w:rPr>
        <w:t>receiv</w:t>
      </w:r>
      <w:r w:rsidR="00682E6A">
        <w:rPr>
          <w:rFonts w:eastAsia="MS PGothic"/>
          <w:color w:val="000000"/>
          <w:szCs w:val="32"/>
        </w:rPr>
        <w:t xml:space="preserve">ed </w:t>
      </w:r>
      <w:r>
        <w:rPr>
          <w:rFonts w:eastAsia="MS PGothic"/>
          <w:color w:val="000000"/>
          <w:szCs w:val="32"/>
        </w:rPr>
        <w:t xml:space="preserve"> I</w:t>
      </w:r>
      <w:r w:rsidR="00183863">
        <w:rPr>
          <w:rFonts w:eastAsia="MS PGothic"/>
          <w:color w:val="000000"/>
          <w:szCs w:val="32"/>
        </w:rPr>
        <w:t>CT and with no previous history of treated head &amp; neck SCCa.  59 patients were identified however 6 met inclusion criteria.  All received 2 to 3 cycles of IC</w:t>
      </w:r>
      <w:r w:rsidR="00C65E71">
        <w:rPr>
          <w:rFonts w:eastAsia="MS PGothic"/>
          <w:color w:val="000000"/>
          <w:szCs w:val="32"/>
        </w:rPr>
        <w:t>T</w:t>
      </w:r>
      <w:r w:rsidR="00183863">
        <w:rPr>
          <w:rFonts w:eastAsia="MS PGothic"/>
          <w:color w:val="000000"/>
          <w:szCs w:val="32"/>
        </w:rPr>
        <w:t xml:space="preserve"> consisting of cisplatin and either fluorouracil and/or a taxane.</w:t>
      </w:r>
      <w:r w:rsidR="00682E6A">
        <w:rPr>
          <w:rFonts w:eastAsia="MS PGothic"/>
          <w:color w:val="000000"/>
          <w:szCs w:val="32"/>
        </w:rPr>
        <w:t xml:space="preserve">  Following IHC, all underwent surgical resection.</w:t>
      </w:r>
    </w:p>
    <w:p w:rsidR="00183863" w:rsidRDefault="00183863" w:rsidP="00EF7F63">
      <w:pPr>
        <w:jc w:val="both"/>
        <w:rPr>
          <w:rFonts w:eastAsia="MS PGothic"/>
          <w:color w:val="000000"/>
          <w:szCs w:val="32"/>
        </w:rPr>
      </w:pPr>
    </w:p>
    <w:p w:rsidR="00183863" w:rsidRDefault="00183863" w:rsidP="00EF7F63">
      <w:pPr>
        <w:jc w:val="both"/>
        <w:rPr>
          <w:rFonts w:eastAsia="MS PGothic"/>
          <w:color w:val="000000"/>
          <w:szCs w:val="32"/>
        </w:rPr>
      </w:pPr>
      <w:r w:rsidRPr="00682E6A">
        <w:rPr>
          <w:rFonts w:eastAsia="MS PGothic"/>
          <w:color w:val="000000"/>
          <w:szCs w:val="32"/>
          <w:u w:val="single"/>
        </w:rPr>
        <w:t>Results:</w:t>
      </w:r>
      <w:r>
        <w:rPr>
          <w:rFonts w:eastAsia="MS PGothic"/>
          <w:color w:val="000000"/>
          <w:szCs w:val="32"/>
        </w:rPr>
        <w:t xml:space="preserve">  Survival from OC-SCCa was 100% with 4 patients</w:t>
      </w:r>
      <w:r w:rsidR="00DF01D4">
        <w:rPr>
          <w:rFonts w:eastAsia="MS PGothic"/>
          <w:color w:val="000000"/>
          <w:szCs w:val="32"/>
        </w:rPr>
        <w:t xml:space="preserve"> NED</w:t>
      </w:r>
      <w:r>
        <w:rPr>
          <w:rFonts w:eastAsia="MS PGothic"/>
          <w:color w:val="000000"/>
          <w:szCs w:val="32"/>
        </w:rPr>
        <w:t xml:space="preserve"> and 2 patients </w:t>
      </w:r>
      <w:r w:rsidR="00DF01D4">
        <w:rPr>
          <w:rFonts w:eastAsia="MS PGothic"/>
          <w:color w:val="000000"/>
          <w:szCs w:val="32"/>
        </w:rPr>
        <w:t>DOC/NED</w:t>
      </w:r>
      <w:r>
        <w:rPr>
          <w:rFonts w:eastAsia="MS PGothic"/>
          <w:color w:val="000000"/>
          <w:szCs w:val="32"/>
        </w:rPr>
        <w:t>.  Median survival was 54.3 months.  Three patients had I</w:t>
      </w:r>
      <w:r w:rsidR="00C65E71">
        <w:rPr>
          <w:rFonts w:eastAsia="MS PGothic"/>
          <w:color w:val="000000"/>
          <w:szCs w:val="32"/>
        </w:rPr>
        <w:t>CT</w:t>
      </w:r>
      <w:r>
        <w:rPr>
          <w:rFonts w:eastAsia="MS PGothic"/>
          <w:color w:val="000000"/>
          <w:szCs w:val="32"/>
        </w:rPr>
        <w:t xml:space="preserve"> complications but recovered and proceeded to surgery.  There were 3 surgical complications in 2 patients.</w:t>
      </w:r>
      <w:r w:rsidR="00682E6A">
        <w:rPr>
          <w:rFonts w:eastAsia="MS PGothic"/>
          <w:color w:val="000000"/>
          <w:szCs w:val="32"/>
        </w:rPr>
        <w:t xml:space="preserve">  </w:t>
      </w:r>
      <w:r>
        <w:rPr>
          <w:rFonts w:eastAsia="MS PGothic"/>
          <w:color w:val="000000"/>
          <w:szCs w:val="32"/>
        </w:rPr>
        <w:t>Historic literature based on AJCC data has s</w:t>
      </w:r>
      <w:r w:rsidR="00682E6A">
        <w:rPr>
          <w:rFonts w:eastAsia="MS PGothic"/>
          <w:color w:val="000000"/>
          <w:szCs w:val="32"/>
        </w:rPr>
        <w:t>u</w:t>
      </w:r>
      <w:r>
        <w:rPr>
          <w:rFonts w:eastAsia="MS PGothic"/>
          <w:color w:val="000000"/>
          <w:szCs w:val="32"/>
        </w:rPr>
        <w:t>rvial at 4.5 years to be approximately 29%.</w:t>
      </w:r>
    </w:p>
    <w:p w:rsidR="00183863" w:rsidRDefault="00183863" w:rsidP="00EF7F63">
      <w:pPr>
        <w:jc w:val="both"/>
        <w:rPr>
          <w:rFonts w:eastAsia="MS PGothic"/>
          <w:color w:val="000000"/>
          <w:szCs w:val="32"/>
        </w:rPr>
      </w:pPr>
    </w:p>
    <w:p w:rsidR="00183863" w:rsidRDefault="00183863" w:rsidP="00EF7F63">
      <w:pPr>
        <w:jc w:val="both"/>
        <w:rPr>
          <w:rFonts w:eastAsia="MS PGothic"/>
          <w:color w:val="000000"/>
          <w:szCs w:val="32"/>
        </w:rPr>
      </w:pPr>
      <w:r w:rsidRPr="00DF01D4">
        <w:rPr>
          <w:rFonts w:eastAsia="MS PGothic"/>
          <w:color w:val="000000"/>
          <w:szCs w:val="32"/>
          <w:u w:val="single"/>
        </w:rPr>
        <w:t>Conclusions:</w:t>
      </w:r>
      <w:r>
        <w:rPr>
          <w:rFonts w:eastAsia="MS PGothic"/>
          <w:color w:val="000000"/>
          <w:szCs w:val="32"/>
        </w:rPr>
        <w:t xml:space="preserve">   Though the study size is s</w:t>
      </w:r>
      <w:r w:rsidR="00682E6A">
        <w:rPr>
          <w:rFonts w:eastAsia="MS PGothic"/>
          <w:color w:val="000000"/>
          <w:szCs w:val="32"/>
        </w:rPr>
        <w:t>ma</w:t>
      </w:r>
      <w:r>
        <w:rPr>
          <w:rFonts w:eastAsia="MS PGothic"/>
          <w:color w:val="000000"/>
          <w:szCs w:val="32"/>
        </w:rPr>
        <w:t>ll, I</w:t>
      </w:r>
      <w:r w:rsidR="00682E6A">
        <w:rPr>
          <w:rFonts w:eastAsia="MS PGothic"/>
          <w:color w:val="000000"/>
          <w:szCs w:val="32"/>
        </w:rPr>
        <w:t>CT</w:t>
      </w:r>
      <w:r>
        <w:rPr>
          <w:rFonts w:eastAsia="MS PGothic"/>
          <w:color w:val="000000"/>
          <w:szCs w:val="32"/>
        </w:rPr>
        <w:t xml:space="preserve"> demonstrated excellent tumor response in our patient population with enduring and superior disease free survival.  A larger multicenter trial would be required to confirm these results and outline chemotherapy drug selection.</w:t>
      </w:r>
    </w:p>
    <w:p w:rsidR="00183863" w:rsidRDefault="00183863" w:rsidP="00EF7F63">
      <w:pPr>
        <w:jc w:val="both"/>
        <w:rPr>
          <w:rFonts w:eastAsia="MS PGothic"/>
          <w:color w:val="000000"/>
          <w:szCs w:val="32"/>
        </w:rPr>
      </w:pP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183863" w:rsidP="00AC3BCD">
      <w:pPr>
        <w:jc w:val="both"/>
        <w:rPr>
          <w:rFonts w:eastAsia="MS PGothic"/>
          <w:b/>
          <w:color w:val="000000"/>
          <w:szCs w:val="32"/>
        </w:rPr>
      </w:pPr>
      <w:r>
        <w:t xml:space="preserve">Saurin R. Popat has completed a Doctorate of Medicne from the University of </w:t>
      </w:r>
      <w:r w:rsidR="00682E6A">
        <w:t>W</w:t>
      </w:r>
      <w:r>
        <w:t>estern Ontario</w:t>
      </w:r>
      <w:r w:rsidR="00682E6A">
        <w:t xml:space="preserve">, London, Canada </w:t>
      </w:r>
      <w:r>
        <w:t xml:space="preserve"> in 1992,</w:t>
      </w:r>
      <w:r w:rsidR="00682E6A">
        <w:t xml:space="preserve"> followed by an</w:t>
      </w:r>
      <w:r>
        <w:t xml:space="preserve"> Otolaryngology – Head &amp; Neck Surgery Residency at the University of Toronto in 1997 and two Fellowships in Head &amp; Neck Surgical Oncology/Microvascular Reconstruction at the University of Toronto (1999) and Skull Base Surgery in Switzerland (2000)</w:t>
      </w:r>
      <w:r w:rsidR="00682E6A">
        <w:t xml:space="preserve">.  He completed an MBA from Cornell University (2010) and serves as Director of Head &amp; Neck Surgery at the Comprehensive Head &amp; Neck Center (CHANCe) in </w:t>
      </w:r>
      <w:r w:rsidR="00682E6A">
        <w:lastRenderedPageBreak/>
        <w:t>Buffalo, NY with more than 30 publications and book chapters.</w:t>
      </w:r>
      <w:r w:rsidR="00DA2249">
        <w:tab/>
      </w:r>
      <w:r w:rsidR="00085B88">
        <w:br/>
      </w:r>
    </w:p>
    <w:p w:rsidR="00AC3BCD" w:rsidRDefault="00072E30" w:rsidP="00AC3BCD">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682E6A">
        <w:rPr>
          <w:lang w:val="en-NZ"/>
        </w:rPr>
        <w:t xml:space="preserve"> Saurin </w:t>
      </w:r>
      <w:r w:rsidR="00E54F1E">
        <w:rPr>
          <w:lang w:val="en-NZ"/>
        </w:rPr>
        <w:t>Rajnikant</w:t>
      </w:r>
      <w:r w:rsidR="00682E6A">
        <w:rPr>
          <w:lang w:val="en-NZ"/>
        </w:rPr>
        <w:t xml:space="preserve"> Popat, MD, MBA, FRCSC, FACS.</w:t>
      </w:r>
      <w:r w:rsidRPr="008A690F">
        <w:rPr>
          <w:lang w:val="en-NZ"/>
        </w:rPr>
        <w:br/>
        <w:t>Contact number:</w:t>
      </w:r>
      <w:r w:rsidR="00682E6A">
        <w:rPr>
          <w:lang w:val="en-NZ"/>
        </w:rPr>
        <w:t xml:space="preserve">  001-716-882-1023</w:t>
      </w:r>
      <w:r w:rsidRPr="008A690F">
        <w:rPr>
          <w:lang w:val="en-NZ"/>
        </w:rPr>
        <w:br/>
      </w:r>
      <w:r w:rsidR="00AC3BCD" w:rsidRPr="008A690F">
        <w:rPr>
          <w:lang w:val="en-NZ"/>
        </w:rPr>
        <w:t>Session</w:t>
      </w:r>
      <w:r w:rsidR="00DA581F" w:rsidRPr="008A690F">
        <w:rPr>
          <w:lang w:val="en-NZ"/>
        </w:rPr>
        <w:t xml:space="preserve"> </w:t>
      </w:r>
      <w:r w:rsidR="00085B88" w:rsidRPr="008A690F">
        <w:rPr>
          <w:lang w:val="en-NZ"/>
        </w:rPr>
        <w:t>n</w:t>
      </w:r>
      <w:r w:rsidR="00AC3BCD" w:rsidRPr="008A690F">
        <w:rPr>
          <w:lang w:val="en-NZ"/>
        </w:rPr>
        <w:t>ame</w:t>
      </w:r>
      <w:r w:rsidR="00DA581F" w:rsidRPr="008A690F">
        <w:rPr>
          <w:lang w:val="en-NZ"/>
        </w:rPr>
        <w:t>/ number</w:t>
      </w:r>
      <w:r w:rsidR="00AC3BCD" w:rsidRPr="008A690F">
        <w:rPr>
          <w:lang w:val="en-NZ"/>
        </w:rPr>
        <w:t>:</w:t>
      </w:r>
      <w:r w:rsidR="00682E6A">
        <w:rPr>
          <w:lang w:val="en-NZ"/>
        </w:rPr>
        <w:t xml:space="preserve">  Oral Cancer</w:t>
      </w:r>
      <w:r w:rsidR="00AC3BCD" w:rsidRPr="008A690F">
        <w:rPr>
          <w:lang w:val="en-NZ"/>
        </w:rPr>
        <w:br/>
        <w:t xml:space="preserve">Category: </w:t>
      </w:r>
      <w:r w:rsidR="00682E6A">
        <w:rPr>
          <w:lang w:val="en-NZ"/>
        </w:rPr>
        <w:t xml:space="preserve">Oral </w:t>
      </w:r>
      <w:r w:rsidR="00AC3BCD" w:rsidRPr="008A690F">
        <w:rPr>
          <w:lang w:val="en-NZ"/>
        </w:rPr>
        <w:t>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33E0" w:rsidRDefault="008E33E0" w:rsidP="00671A59">
      <w:r>
        <w:separator/>
      </w:r>
    </w:p>
  </w:endnote>
  <w:endnote w:type="continuationSeparator" w:id="0">
    <w:p w:rsidR="008E33E0" w:rsidRDefault="008E33E0"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33E0" w:rsidRDefault="008E33E0" w:rsidP="00671A59">
      <w:r>
        <w:separator/>
      </w:r>
    </w:p>
  </w:footnote>
  <w:footnote w:type="continuationSeparator" w:id="0">
    <w:p w:rsidR="008E33E0" w:rsidRDefault="008E33E0" w:rsidP="00671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83863"/>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A0899"/>
    <w:rsid w:val="005B168A"/>
    <w:rsid w:val="005C2EA1"/>
    <w:rsid w:val="005C3848"/>
    <w:rsid w:val="005D43ED"/>
    <w:rsid w:val="00605142"/>
    <w:rsid w:val="00612C13"/>
    <w:rsid w:val="006511AA"/>
    <w:rsid w:val="00671A59"/>
    <w:rsid w:val="00682E6A"/>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8E33E0"/>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1594E"/>
    <w:rsid w:val="00B26097"/>
    <w:rsid w:val="00B27625"/>
    <w:rsid w:val="00B675D9"/>
    <w:rsid w:val="00BF5676"/>
    <w:rsid w:val="00C65E71"/>
    <w:rsid w:val="00CE08A2"/>
    <w:rsid w:val="00D367E3"/>
    <w:rsid w:val="00DA2249"/>
    <w:rsid w:val="00DA581F"/>
    <w:rsid w:val="00DC29A1"/>
    <w:rsid w:val="00DC7405"/>
    <w:rsid w:val="00DD3006"/>
    <w:rsid w:val="00DE2102"/>
    <w:rsid w:val="00DF01D4"/>
    <w:rsid w:val="00E119D1"/>
    <w:rsid w:val="00E54F1E"/>
    <w:rsid w:val="00E713DA"/>
    <w:rsid w:val="00E85CF8"/>
    <w:rsid w:val="00EB353E"/>
    <w:rsid w:val="00ED51D7"/>
    <w:rsid w:val="00EE1DF0"/>
    <w:rsid w:val="00EF7F63"/>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https://www.bing.com/images/search?q=saurin+popat&amp;id=56966770EA884C24D3EEE8DA9572CEE8DF417FF3&amp;FORM=IQFR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D20FD5-8110-482C-9723-63B5DC38D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436</Words>
  <Characters>2489</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2017-05-11T22:09:00Z</dcterms:created>
  <dcterms:modified xsi:type="dcterms:W3CDTF">2017-05-11T22:09:00Z</dcterms:modified>
</cp:coreProperties>
</file>