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</Types>
</file>

<file path=_rels/.rels><?xml version="1.0" encoding="UTF-8"?>
<Relationships xmlns="http://schemas.openxmlformats.org/package/2006/relationships"><Relationship Id="rId1" Type="http://schemas.openxmlformats.org/package/2006/relationships/metadata/core-properties" Target="docProps/core.xml"></Relationship><Relationship Id="rId2" Type="http://schemas.openxmlformats.org/officeDocument/2006/relationships/extended-properties" Target="docProps/app.xml"></Relationship><Relationship Id="rId3" Type="http://schemas.openxmlformats.org/officeDocument/2006/relationships/officeDocument" Target="word/document.xml"></Relationship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="http://schemas.openxmlformats.org/wordprocessingml/2006/main" xmlns:wpg="http://schemas.microsoft.com/office/word/2010/wordprocessingGroup" xmlns:wne="http://schemas.microsoft.com/office/word/2006/wordml" xmlns:wps="http://schemas.microsoft.com/office/word/2010/wordprocessingShape" xmlns:wpc="http://schemas.microsoft.com/office/word/2010/wordprocessingCanvas" xmlns:mc="http://schemas.openxmlformats.org/markup-compatibility/2006">
  <w:body>
    <w:p>
      <w:pPr>
        <w:pStyle w:val="Para1"/>
        <w:spacing w:line="240" w:lineRule="auto"/>
        <w:ind w:left="0" w:hanging="0"/>
        <w:wordWrap w:val="0"/>
        <w:rPr>
          <w:sz w:val="20"/>
          <w:szCs w:val="20"/>
          <w:rFonts w:ascii="Calibri" w:eastAsia="Calibri" w:hAnsi="Calibri" w:hint="default"/>
        </w:rPr>
      </w:pPr>
      <w:r>
        <w:rPr>
          <w:rStyle w:val="Character1"/>
          <w:sz w:val="24"/>
          <w:szCs w:val="24"/>
        </w:rPr>
        <w:t xml:space="preserve">The patient and operator’s desire for a shorter treatment period combined with the documented </w:t>
      </w:r>
      <w:r>
        <w:rPr>
          <w:rStyle w:val="Character1"/>
          <w:sz w:val="24"/>
          <w:szCs w:val="24"/>
        </w:rPr>
        <w:t xml:space="preserve">success rates of immediately loaded implants encouraged the introduction of an immediate loading </w:t>
      </w:r>
      <w:r>
        <w:rPr>
          <w:rStyle w:val="Character1"/>
          <w:sz w:val="24"/>
          <w:szCs w:val="24"/>
        </w:rPr>
        <w:t xml:space="preserve">protocol. Immediate loading is defined as the prostheses being attached to the implants within 1 </w:t>
      </w:r>
      <w:r>
        <w:rPr>
          <w:rStyle w:val="Character1"/>
          <w:sz w:val="24"/>
          <w:szCs w:val="24"/>
        </w:rPr>
        <w:t xml:space="preserve">week subsequent to implant placement or on the day of surgery with occlusal contacts. Immediate </w:t>
      </w:r>
      <w:r>
        <w:rPr>
          <w:rStyle w:val="Character1"/>
          <w:sz w:val="24"/>
          <w:szCs w:val="24"/>
        </w:rPr>
        <w:t xml:space="preserve">loading of implants in edentulous jaw provides function, esthetics, phonation and psychological </w:t>
      </w:r>
      <w:r>
        <w:rPr>
          <w:rStyle w:val="Character1"/>
          <w:sz w:val="24"/>
          <w:szCs w:val="24"/>
        </w:rPr>
        <w:t xml:space="preserve">satisfaction to the patient on the day of or within one week of the surgery. There are several </w:t>
      </w:r>
      <w:r>
        <w:rPr>
          <w:rStyle w:val="Character1"/>
          <w:sz w:val="24"/>
          <w:szCs w:val="24"/>
        </w:rPr>
        <w:t xml:space="preserve">clinical factors which have been recommended to achieve predictable long term success of </w:t>
      </w:r>
      <w:r>
        <w:rPr>
          <w:rStyle w:val="Character1"/>
          <w:sz w:val="24"/>
          <w:szCs w:val="24"/>
        </w:rPr>
        <w:t xml:space="preserve">immediate loading. Recommendations include the use of rough surface and threaded implants to </w:t>
      </w:r>
      <w:r>
        <w:rPr>
          <w:rStyle w:val="Character1"/>
          <w:sz w:val="24"/>
          <w:szCs w:val="24"/>
        </w:rPr>
        <w:t xml:space="preserve">attain good primary stability. In addition it is recommended that an insertion torque of at least 40 </w:t>
      </w:r>
      <w:r>
        <w:rPr>
          <w:rStyle w:val="Character1"/>
          <w:sz w:val="24"/>
          <w:szCs w:val="24"/>
        </w:rPr>
        <w:t xml:space="preserve">Ncm should be achieved at the time of implant placement. Splinting has been shown to limit the </w:t>
      </w:r>
      <w:r>
        <w:rPr>
          <w:rStyle w:val="Character1"/>
          <w:sz w:val="24"/>
          <w:szCs w:val="24"/>
        </w:rPr>
        <w:t xml:space="preserve">micro movement of the implant within acceptable limits (‹150 micron). This paper shows 5 patient </w:t>
      </w:r>
      <w:r>
        <w:rPr>
          <w:rStyle w:val="Character1"/>
          <w:sz w:val="24"/>
          <w:szCs w:val="24"/>
        </w:rPr>
        <w:t xml:space="preserve">cases of immediate loading in the edentulous jaw with a survival rate of 100% after 5 year.</w:t>
      </w:r>
    </w:p>
    <w:sectPr>
      <w:pgSz w:w="12240" w:h="15840"/>
      <w:pgMar w:top="1440" w:right="1440" w:bottom="1440" w:left="1440" w:header="720" w:footer="720" w:gutter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imes New Roman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Tahoma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SouvenirITCbyBT-Light">
    <w:panose1 w:val="020F0502020204030204"/>
    <w:charset w:val="0"/>
    <w:family w:val="mordern"/>
    <w:pitch w:val="variable"/>
    <w:sig w:usb0="A00002EF" w:usb1="4000207B" w:usb2="00000000" w:usb3="00000000" w:csb0="0000009F" w:csb1="00000000"/>
  </w:font>
  <w:font w:name="Cambria">
    <w:panose1 w:val="020F0502020204030204"/>
    <w:charset w:val="0"/>
    <w:family w:val="mordern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noPunctuationKerning/>
  <w:characterSpacingControl w:val="doNotCompress"/>
  <w:bordersDoNotSurroundHeader/>
  <w:bordersDoNotSurroundFooter/>
  <w:compat>
    <w:useFELayout/>
    <w:compatSetting w:name="compatibilityMode" w:uri="http://schemas.microsoft.com/office/word" w:val="12"/>
  </w:compat>
  <m:mathPr>
    <m:mathFont m:value="Cambria Math"/>
    <m:brkBin m:value="before"/>
    <m:brkBinSub m:value="--"/>
    <m:smallFrac m:value="off"/>
    <m:dispDef/>
    <m:lMargin m:value="0"/>
    <m:rMargin m:value="0"/>
    <m:defJc m:value="centerGroup"/>
    <m:wrapIndent m:value="1440"/>
    <m:intLim m:value="subSup"/>
    <m:naryLim m:value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pPrDefault>
      <w:pPr/>
    </w:pPrDefault>
    <w:rPrDefault>
      <w:rPr>
        <w:rFonts w:ascii="Times New Roman" w:hAnsi="Times New Roman" w:eastAsia="바탕" w:cs="Times New Roman"/>
      </w:rPr>
    </w:rPrDefault>
  </w:docDefaults>
  <w:style w:type="paragraph" w:styleId="a" w:default="1">
    <w:name w:val="Normal"/>
    <w:pPr>
      <w:autoSpaceDE w:val="off"/>
      <w:autoSpaceDN w:val="off"/>
      <w:jc w:val="both"/>
      <w:widowControl w:val="off"/>
      <w:wordWrap w:val="off"/>
    </w:pPr>
    <w:rPr>
      <w:kern w:val="2"/>
      <w:lang w:val="en-US" w:eastAsia="ko-KR" w:bidi="ar-SA"/>
      <w:rFonts w:ascii="바탕" w:eastAsia="바탕"/>
    </w:rPr>
  </w:style>
  <w:style w:type="character" w:styleId="a0" w:default="1">
    <w:name w:val="Default Paragraph Font"/>
    <w:rPr/>
  </w:style>
  <w:style w:type="table" w:styleId="a1" w:default="1">
    <w:name w:val="Default Tabl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paragraph" w:customStyle="1" w:styleId="Para0">
    <w:name w:val="ParaAttribute0"/>
    <w:pPr>
      <w:jc w:val="left"/>
      <w:wordWrap w:val="true"/>
      <w:ind w:left="0" w:hanging="0"/>
      <w:rPr/>
    </w:pPr>
  </w:style>
  <w:style w:type="paragraph" w:customStyle="1" w:styleId="Para1">
    <w:name w:val="ParaAttribute1"/>
    <w:pPr>
      <w:jc w:val="left"/>
      <w:wordWrap w:val="true"/>
      <w:ind w:left="0" w:hanging="0"/>
      <w:rPr/>
    </w:pPr>
  </w:style>
  <w:style w:type="paragraph" w:customStyle="1" w:styleId="Para2">
    <w:name w:val="ParaAttribute2"/>
    <w:pPr>
      <w:jc w:val="left"/>
      <w:wordWrap w:val="true"/>
      <w:ind w:left="0" w:hanging="0"/>
      <w:widowControl w:val="false"/>
      <w:rPr/>
    </w:pPr>
  </w:style>
  <w:style w:type="character" w:customStyle="1" w:styleId="Character0">
    <w:name w:val="CharAttribute0"/>
    <w:rPr>
      <w:rFonts w:ascii="Calibri" w:eastAsia="Calibri"/>
      <w:sz w:val="22"/>
    </w:rPr>
  </w:style>
  <w:style w:type="character" w:customStyle="1" w:styleId="Character1">
    <w:name w:val="CharAttribute1"/>
    <w:rPr>
      <w:rFonts w:ascii="SouvenirITCbyBT-Light" w:eastAsia="SouvenirITCbyBT-Light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?>
<Relationships xmlns="http://schemas.openxmlformats.org/package/2006/relationships"><Relationship Id="rId1" Type="http://schemas.openxmlformats.org/officeDocument/2006/relationships/webSettings" Target="webSettings.xml"></Relationship><Relationship Id="rId2" Type="http://schemas.openxmlformats.org/officeDocument/2006/relationships/fontTable" Target="fontTable.xml"></Relationship><Relationship Id="rId3" Type="http://schemas.openxmlformats.org/officeDocument/2006/relationships/settings" Target="settings.xml"></Relationship><Relationship Id="rId4" Type="http://schemas.openxmlformats.org/officeDocument/2006/relationships/styles" Target="styles.xml"></Relationship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12.000</AppVersion>
  <Characters>1145</Characters>
  <CharactersWithSpaces>0</CharactersWithSpaces>
  <Company>Toshiba</Company>
  <DocSecurity>0</DocSecurity>
  <HyperlinksChanged>false</HyperlinksChanged>
  <Lines>8</Lines>
  <LinksUpToDate>false</LinksUpToDate>
  <Pages>1</Pages>
  <Paragraphs>2</Paragraphs>
  <Words>171</Words>
  <TotalTime>0</TotalTime>
  <MMClips>0</MMClip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Title text</vt:lpstr>
    </vt:vector>
  </TitlesOfParts>
  <SharedDoc>false</SharedDoc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</cp:revision>
  <dc:creator>drdjango</dc:creator>
  <cp:lastModifiedBy>drdjango</cp:lastModifiedBy>
  <dcterms:modified xsi:type="dcterms:W3CDTF">2016-08-26T07:05:00Z</dcterms:modified>
</cp:coreProperties>
</file>