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34D" w:rsidRDefault="005E634D" w:rsidP="00B05A78">
      <w:pPr>
        <w:rPr>
          <w:rFonts w:ascii="Times New Roman" w:hAnsi="Times New Roman" w:cs="Times New Roman"/>
          <w:sz w:val="24"/>
          <w:szCs w:val="24"/>
        </w:rPr>
      </w:pPr>
    </w:p>
    <w:p w:rsidR="003B4D37" w:rsidRPr="00C93B55" w:rsidRDefault="006E3C83" w:rsidP="00B112A2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C93B55">
        <w:rPr>
          <w:rStyle w:val="shorttext"/>
          <w:b/>
          <w:bCs/>
          <w:sz w:val="40"/>
          <w:szCs w:val="40"/>
          <w:lang w:val="en-US"/>
        </w:rPr>
        <w:t>Title</w:t>
      </w:r>
      <w:r w:rsidR="003B4D37" w:rsidRPr="00C93B55">
        <w:rPr>
          <w:b/>
          <w:bCs/>
          <w:sz w:val="40"/>
          <w:szCs w:val="40"/>
          <w:lang w:val="en-US"/>
        </w:rPr>
        <w:t xml:space="preserve"> :</w:t>
      </w:r>
      <w:r w:rsidR="003B4D37" w:rsidRPr="00C93B55">
        <w:rPr>
          <w:rFonts w:ascii="Arial" w:hAnsi="Arial" w:cs="Arial"/>
          <w:sz w:val="24"/>
          <w:szCs w:val="24"/>
          <w:lang w:val="en-US"/>
        </w:rPr>
        <w:t>The</w:t>
      </w:r>
      <w:proofErr w:type="gramEnd"/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 impact of the removable partial prosthesis on the </w:t>
      </w:r>
      <w:proofErr w:type="spellStart"/>
      <w:r w:rsidR="003B4D37" w:rsidRPr="00C93B55">
        <w:rPr>
          <w:rFonts w:ascii="Arial" w:hAnsi="Arial" w:cs="Arial"/>
          <w:sz w:val="24"/>
          <w:szCs w:val="24"/>
          <w:lang w:val="en-US"/>
        </w:rPr>
        <w:t>bifilm</w:t>
      </w:r>
      <w:proofErr w:type="spellEnd"/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 in the presence of an aggressive </w:t>
      </w:r>
      <w:proofErr w:type="spellStart"/>
      <w:r w:rsidR="003B4D37" w:rsidRPr="00C93B55">
        <w:rPr>
          <w:rFonts w:ascii="Arial" w:hAnsi="Arial" w:cs="Arial"/>
          <w:sz w:val="24"/>
          <w:szCs w:val="24"/>
          <w:lang w:val="en-US"/>
        </w:rPr>
        <w:t>periodontitis</w:t>
      </w:r>
      <w:proofErr w:type="spellEnd"/>
    </w:p>
    <w:p w:rsidR="00014F7B" w:rsidRPr="00C93B55" w:rsidRDefault="00014F7B" w:rsidP="00B112A2">
      <w:pPr>
        <w:rPr>
          <w:rFonts w:ascii="Arial" w:hAnsi="Arial" w:cs="Arial"/>
          <w:sz w:val="24"/>
          <w:szCs w:val="24"/>
          <w:lang w:val="en-US"/>
        </w:rPr>
      </w:pPr>
      <w:r w:rsidRPr="00C93B55">
        <w:rPr>
          <w:rStyle w:val="shorttext"/>
          <w:b/>
          <w:bCs/>
          <w:sz w:val="40"/>
          <w:szCs w:val="40"/>
          <w:lang w:val="en-US"/>
        </w:rPr>
        <w:t>Summary:</w:t>
      </w:r>
      <w:r w:rsidRPr="00C93B55">
        <w:rPr>
          <w:rStyle w:val="shorttext"/>
          <w:b/>
          <w:bCs/>
          <w:sz w:val="40"/>
          <w:szCs w:val="40"/>
          <w:lang w:val="en-US"/>
        </w:rPr>
        <w:br/>
      </w:r>
      <w:r w:rsidRPr="00C93B55">
        <w:rPr>
          <w:sz w:val="28"/>
          <w:szCs w:val="28"/>
          <w:lang w:val="en-US"/>
        </w:rPr>
        <w:t>  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Aggressive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periodontitis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is recognized as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multifactorial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disease, the direct triggering factor of which is the bacterial component incompatible with periodontal health; </w:t>
      </w:r>
      <w:proofErr w:type="gramStart"/>
      <w:r w:rsidRPr="00C93B55">
        <w:rPr>
          <w:rFonts w:ascii="Arial" w:hAnsi="Arial" w:cs="Arial"/>
          <w:sz w:val="24"/>
          <w:szCs w:val="24"/>
          <w:lang w:val="en-US"/>
        </w:rPr>
        <w:t>These</w:t>
      </w:r>
      <w:proofErr w:type="gramEnd"/>
      <w:r w:rsidRPr="00C93B55">
        <w:rPr>
          <w:rFonts w:ascii="Arial" w:hAnsi="Arial" w:cs="Arial"/>
          <w:sz w:val="24"/>
          <w:szCs w:val="24"/>
          <w:lang w:val="en-US"/>
        </w:rPr>
        <w:t xml:space="preserve"> clinical manifestations are often followed by the premature loss of teeth.</w:t>
      </w:r>
      <w:r w:rsidRPr="00C93B55">
        <w:rPr>
          <w:rFonts w:ascii="Arial" w:hAnsi="Arial" w:cs="Arial"/>
          <w:sz w:val="24"/>
          <w:szCs w:val="24"/>
          <w:lang w:val="en-US"/>
        </w:rPr>
        <w:br/>
        <w:t>  This aesthetic and functional damage often leads patients</w:t>
      </w:r>
      <w:r w:rsidR="00DB3831" w:rsidRPr="00C93B55">
        <w:rPr>
          <w:rFonts w:ascii="Arial" w:hAnsi="Arial" w:cs="Arial"/>
          <w:sz w:val="24"/>
          <w:szCs w:val="24"/>
          <w:lang w:val="en-US"/>
        </w:rPr>
        <w:t xml:space="preserve"> to a prosthetic treatment by a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r w:rsidR="00DB3831" w:rsidRPr="00C93B55">
        <w:rPr>
          <w:rFonts w:ascii="Arial" w:hAnsi="Arial" w:cs="Arial"/>
          <w:sz w:val="24"/>
          <w:szCs w:val="24"/>
          <w:lang w:val="en-US"/>
        </w:rPr>
        <w:t>removable partial denture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. However, the use of this type of prosthesis is not without consequences on the balance of the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buccal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ecosystem.</w:t>
      </w:r>
      <w:r w:rsidRPr="00C93B55">
        <w:rPr>
          <w:rFonts w:ascii="Arial" w:hAnsi="Arial" w:cs="Arial"/>
          <w:sz w:val="24"/>
          <w:szCs w:val="24"/>
          <w:lang w:val="en-US"/>
        </w:rPr>
        <w:br/>
        <w:t>The aim of our work is to describe the composition of the sub-</w:t>
      </w:r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gingival flora before and after insertion </w:t>
      </w:r>
      <w:proofErr w:type="gramStart"/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of </w:t>
      </w:r>
      <w:r w:rsidR="00DB3831" w:rsidRPr="00C93B55">
        <w:rPr>
          <w:rFonts w:ascii="Arial" w:hAnsi="Arial" w:cs="Arial"/>
          <w:sz w:val="24"/>
          <w:szCs w:val="24"/>
          <w:lang w:val="en-US"/>
        </w:rPr>
        <w:t xml:space="preserve"> a</w:t>
      </w:r>
      <w:proofErr w:type="gramEnd"/>
      <w:r w:rsidR="00DB3831" w:rsidRPr="00C93B55">
        <w:rPr>
          <w:rFonts w:ascii="Arial" w:hAnsi="Arial" w:cs="Arial"/>
          <w:sz w:val="24"/>
          <w:szCs w:val="24"/>
          <w:lang w:val="en-US"/>
        </w:rPr>
        <w:t xml:space="preserve"> removable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partial prosthesis in patients suffering</w:t>
      </w:r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 from an aggressive periodontal</w:t>
      </w:r>
      <w:r w:rsidRPr="00C93B55">
        <w:rPr>
          <w:rFonts w:ascii="Arial" w:hAnsi="Arial" w:cs="Arial"/>
          <w:sz w:val="24"/>
          <w:szCs w:val="24"/>
          <w:lang w:val="en-US"/>
        </w:rPr>
        <w:t>.</w:t>
      </w:r>
      <w:r w:rsidRPr="00C93B55">
        <w:rPr>
          <w:rFonts w:ascii="Arial" w:hAnsi="Arial" w:cs="Arial"/>
          <w:sz w:val="24"/>
          <w:szCs w:val="24"/>
          <w:lang w:val="en-US"/>
        </w:rPr>
        <w:br/>
        <w:t> </w:t>
      </w:r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10 patients, 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with a</w:t>
      </w:r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ggressive </w:t>
      </w:r>
      <w:proofErr w:type="spellStart"/>
      <w:r w:rsidR="003B4D37" w:rsidRPr="00C93B55">
        <w:rPr>
          <w:rFonts w:ascii="Arial" w:hAnsi="Arial" w:cs="Arial"/>
          <w:sz w:val="24"/>
          <w:szCs w:val="24"/>
          <w:lang w:val="en-US"/>
        </w:rPr>
        <w:t>periodontitis</w:t>
      </w:r>
      <w:proofErr w:type="spellEnd"/>
      <w:r w:rsidR="003B4D37" w:rsidRPr="00C93B55">
        <w:rPr>
          <w:rFonts w:ascii="Arial" w:hAnsi="Arial" w:cs="Arial"/>
          <w:sz w:val="24"/>
          <w:szCs w:val="24"/>
          <w:lang w:val="en-US"/>
        </w:rPr>
        <w:t>, with a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r w:rsidR="003B4D37" w:rsidRPr="00C93B55">
        <w:rPr>
          <w:rFonts w:ascii="Arial" w:hAnsi="Arial" w:cs="Arial"/>
          <w:sz w:val="24"/>
          <w:szCs w:val="24"/>
          <w:lang w:val="en-US"/>
        </w:rPr>
        <w:t>mean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age of 27.42 ± 4.65, who received a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parodotal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treatment followed by a prosthetic treatment with a removable partial denture, are followed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bacteriologically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>: Morphology, mobility, density of microbial germs and the presence of other elements such as yeasts were observed directly under the light microscope, i</w:t>
      </w:r>
      <w:r w:rsidR="00927DEF" w:rsidRPr="00C93B55">
        <w:rPr>
          <w:rFonts w:ascii="Arial" w:hAnsi="Arial" w:cs="Arial"/>
          <w:sz w:val="24"/>
          <w:szCs w:val="24"/>
          <w:lang w:val="en-US"/>
        </w:rPr>
        <w:t>n the fresh state and after Gram staining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before (T0</w:t>
      </w:r>
      <w:r w:rsidR="00927DEF" w:rsidRPr="00C93B55">
        <w:rPr>
          <w:rFonts w:ascii="Arial" w:hAnsi="Arial" w:cs="Arial"/>
          <w:sz w:val="24"/>
          <w:szCs w:val="24"/>
          <w:lang w:val="en-US"/>
        </w:rPr>
        <w:t>)  and after (T</w:t>
      </w:r>
      <w:r w:rsidRPr="00C93B55">
        <w:rPr>
          <w:rFonts w:ascii="Arial" w:hAnsi="Arial" w:cs="Arial"/>
          <w:sz w:val="24"/>
          <w:szCs w:val="24"/>
          <w:lang w:val="en-US"/>
        </w:rPr>
        <w:t>1)</w:t>
      </w:r>
      <w:r w:rsidR="00927DEF" w:rsidRPr="00C93B55">
        <w:rPr>
          <w:rFonts w:ascii="Arial" w:hAnsi="Arial" w:cs="Arial"/>
          <w:sz w:val="24"/>
          <w:szCs w:val="24"/>
          <w:lang w:val="en-US"/>
        </w:rPr>
        <w:t xml:space="preserve">  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, </w:t>
      </w:r>
      <w:r w:rsidR="003B4D37" w:rsidRPr="00C93B55">
        <w:rPr>
          <w:rFonts w:ascii="Arial" w:hAnsi="Arial" w:cs="Arial"/>
          <w:sz w:val="24"/>
          <w:szCs w:val="24"/>
          <w:lang w:val="en-US"/>
        </w:rPr>
        <w:t xml:space="preserve">the insertion of removable partial prosthesis </w:t>
      </w:r>
      <w:r w:rsidRPr="00C93B55">
        <w:rPr>
          <w:rFonts w:ascii="Arial" w:hAnsi="Arial" w:cs="Arial"/>
          <w:sz w:val="24"/>
          <w:szCs w:val="24"/>
          <w:lang w:val="en-US"/>
        </w:rPr>
        <w:t>the mean duration of post-prosthetic observation between T0 and T1 is 15 days.</w:t>
      </w:r>
      <w:r w:rsidRPr="00C93B55">
        <w:rPr>
          <w:rFonts w:ascii="Arial" w:hAnsi="Arial" w:cs="Arial"/>
          <w:sz w:val="24"/>
          <w:szCs w:val="24"/>
          <w:lang w:val="en-US"/>
        </w:rPr>
        <w:br/>
        <w:t xml:space="preserve">In conclusion, the comparison of the results between T0 and T1 revealed a greater increase in the density of Gram + bacteria compared to that of </w:t>
      </w:r>
      <w:proofErr w:type="gramStart"/>
      <w:r w:rsidRPr="00C93B55">
        <w:rPr>
          <w:rFonts w:ascii="Arial" w:hAnsi="Arial" w:cs="Arial"/>
          <w:sz w:val="24"/>
          <w:szCs w:val="24"/>
          <w:lang w:val="en-US"/>
        </w:rPr>
        <w:t>Gram-bacteria,</w:t>
      </w:r>
      <w:proofErr w:type="gramEnd"/>
      <w:r w:rsidRPr="00C93B55">
        <w:rPr>
          <w:rFonts w:ascii="Arial" w:hAnsi="Arial" w:cs="Arial"/>
          <w:sz w:val="24"/>
          <w:szCs w:val="24"/>
          <w:lang w:val="en-US"/>
        </w:rPr>
        <w:t xml:space="preserve"> and an increase in the frequency of sites with a high density of</w:t>
      </w:r>
      <w:r w:rsidR="00927DEF"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r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r w:rsidR="00927DEF"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27DEF" w:rsidRPr="00C93B55">
        <w:rPr>
          <w:rFonts w:ascii="Arial" w:hAnsi="Arial" w:cs="Arial"/>
          <w:sz w:val="24"/>
          <w:szCs w:val="24"/>
          <w:lang w:val="en-US"/>
        </w:rPr>
        <w:t>bacile</w:t>
      </w:r>
      <w:proofErr w:type="spellEnd"/>
      <w:r w:rsidR="00927DEF" w:rsidRPr="00C93B55">
        <w:rPr>
          <w:rFonts w:ascii="Arial" w:hAnsi="Arial" w:cs="Arial"/>
          <w:sz w:val="24"/>
          <w:szCs w:val="24"/>
          <w:lang w:val="en-US"/>
        </w:rPr>
        <w:t xml:space="preserve"> </w:t>
      </w:r>
      <w:r w:rsidRPr="00C93B55">
        <w:rPr>
          <w:rFonts w:ascii="Arial" w:hAnsi="Arial" w:cs="Arial"/>
          <w:sz w:val="24"/>
          <w:szCs w:val="24"/>
          <w:lang w:val="en-US"/>
        </w:rPr>
        <w:t>Gram- and yeasts.</w:t>
      </w:r>
      <w:r w:rsidRPr="00C93B55">
        <w:rPr>
          <w:rFonts w:ascii="Arial" w:hAnsi="Arial" w:cs="Arial"/>
          <w:sz w:val="24"/>
          <w:szCs w:val="24"/>
          <w:lang w:val="en-US"/>
        </w:rPr>
        <w:br/>
        <w:t xml:space="preserve">  Some similarities can be observed between our results and those of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Mosenego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concerning the increase in the density of Gram + bacteria before the installation of the partial removable prosthesis we noticed the absence of sites with a predominance of Gram + germs, Whereas they represented 10% after 15 days of prosthetic wearing, also an increase in the </w:t>
      </w:r>
      <w:r w:rsidR="00DB3831" w:rsidRPr="00C93B55">
        <w:rPr>
          <w:rFonts w:ascii="Arial" w:hAnsi="Arial" w:cs="Arial"/>
          <w:sz w:val="24"/>
          <w:szCs w:val="24"/>
          <w:lang w:val="en-US"/>
        </w:rPr>
        <w:t xml:space="preserve">yeast density </w:t>
      </w:r>
      <w:r w:rsidRPr="00C93B55">
        <w:rPr>
          <w:rFonts w:ascii="Arial" w:hAnsi="Arial" w:cs="Arial"/>
          <w:sz w:val="24"/>
          <w:szCs w:val="24"/>
          <w:lang w:val="en-US"/>
        </w:rPr>
        <w:t>.</w:t>
      </w:r>
      <w:r w:rsidRPr="00C93B55">
        <w:rPr>
          <w:rFonts w:ascii="Arial" w:hAnsi="Arial" w:cs="Arial"/>
          <w:sz w:val="24"/>
          <w:szCs w:val="24"/>
          <w:lang w:val="en-US"/>
        </w:rPr>
        <w:br/>
        <w:t xml:space="preserve">   As for the different bacterial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morphotypes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>, we have also observed an increase in the frequency of sites with a large Gram-</w:t>
      </w:r>
      <w:proofErr w:type="gramStart"/>
      <w:r w:rsidRPr="00C93B55">
        <w:rPr>
          <w:rFonts w:ascii="Arial" w:hAnsi="Arial" w:cs="Arial"/>
          <w:sz w:val="24"/>
          <w:szCs w:val="24"/>
          <w:lang w:val="en-US"/>
        </w:rPr>
        <w:t>negat</w:t>
      </w:r>
      <w:r w:rsidR="00DB3831" w:rsidRPr="00C93B55">
        <w:rPr>
          <w:rFonts w:ascii="Arial" w:hAnsi="Arial" w:cs="Arial"/>
          <w:sz w:val="24"/>
          <w:szCs w:val="24"/>
          <w:lang w:val="en-US"/>
        </w:rPr>
        <w:t xml:space="preserve">ive </w:t>
      </w:r>
      <w:r w:rsidRPr="00C93B55">
        <w:rPr>
          <w:rFonts w:ascii="Arial" w:hAnsi="Arial" w:cs="Arial"/>
          <w:sz w:val="24"/>
          <w:szCs w:val="24"/>
          <w:lang w:val="en-US"/>
        </w:rPr>
        <w:t>,</w:t>
      </w:r>
      <w:proofErr w:type="gramEnd"/>
      <w:r w:rsidRPr="00C93B55">
        <w:rPr>
          <w:rFonts w:ascii="Arial" w:hAnsi="Arial" w:cs="Arial"/>
          <w:sz w:val="24"/>
          <w:szCs w:val="24"/>
          <w:lang w:val="en-US"/>
        </w:rPr>
        <w:t xml:space="preserve"> this bacterial species is of particular interest because it represents the responsible agent Of the installation of aggressive </w:t>
      </w:r>
      <w:proofErr w:type="spellStart"/>
      <w:r w:rsidRPr="00C93B55">
        <w:rPr>
          <w:rFonts w:ascii="Arial" w:hAnsi="Arial" w:cs="Arial"/>
          <w:sz w:val="24"/>
          <w:szCs w:val="24"/>
          <w:lang w:val="en-US"/>
        </w:rPr>
        <w:t>periodontitis</w:t>
      </w:r>
      <w:proofErr w:type="spellEnd"/>
      <w:r w:rsidRPr="00C93B55">
        <w:rPr>
          <w:rFonts w:ascii="Arial" w:hAnsi="Arial" w:cs="Arial"/>
          <w:sz w:val="24"/>
          <w:szCs w:val="24"/>
          <w:lang w:val="en-US"/>
        </w:rPr>
        <w:t xml:space="preserve"> and its presence </w:t>
      </w:r>
      <w:r w:rsidR="003B4D37" w:rsidRPr="00C93B55">
        <w:rPr>
          <w:rFonts w:ascii="Arial" w:hAnsi="Arial" w:cs="Arial"/>
          <w:sz w:val="24"/>
          <w:szCs w:val="24"/>
          <w:lang w:val="en-US"/>
        </w:rPr>
        <w:t>increases the risk of recidivism</w:t>
      </w:r>
      <w:r w:rsidRPr="00C93B55">
        <w:rPr>
          <w:rFonts w:ascii="Arial" w:hAnsi="Arial" w:cs="Arial"/>
          <w:sz w:val="24"/>
          <w:szCs w:val="24"/>
          <w:lang w:val="en-US"/>
        </w:rPr>
        <w:t>,</w:t>
      </w:r>
    </w:p>
    <w:p w:rsidR="00DB3831" w:rsidRPr="003B4D37" w:rsidRDefault="00DB3831" w:rsidP="00B112A2">
      <w:pPr>
        <w:rPr>
          <w:rFonts w:ascii="Times New Roman" w:eastAsia="Calibri" w:hAnsi="Times New Roman" w:cs="Times New Roman"/>
          <w:sz w:val="32"/>
          <w:szCs w:val="32"/>
          <w:lang w:val="en-US"/>
        </w:rPr>
      </w:pPr>
    </w:p>
    <w:p w:rsidR="00B112A2" w:rsidRPr="00014F7B" w:rsidRDefault="00B112A2" w:rsidP="00D537F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537F4" w:rsidRPr="00014F7B" w:rsidRDefault="00D537F4" w:rsidP="00CA43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537F4" w:rsidRPr="00014F7B" w:rsidRDefault="00D537F4" w:rsidP="00CA43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537F4" w:rsidRPr="00014F7B" w:rsidRDefault="00D537F4" w:rsidP="00CA43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93B55" w:rsidRPr="005E634D" w:rsidRDefault="00C93B55" w:rsidP="00C93B5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634D">
        <w:rPr>
          <w:rFonts w:ascii="Times New Roman" w:hAnsi="Times New Roman" w:cs="Times New Roman"/>
          <w:b/>
          <w:bCs/>
          <w:sz w:val="24"/>
          <w:szCs w:val="24"/>
        </w:rPr>
        <w:lastRenderedPageBreak/>
        <w:t>Résumé:</w:t>
      </w:r>
    </w:p>
    <w:p w:rsidR="00C93B55" w:rsidRDefault="00C93B55" w:rsidP="00C93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Les parodontites agressives sont reconnues comme étant des maladies multifactorielles dont le facteur direct déclenchant est la composante bactérienne non compatible avec la santé parodontale; ces manifestations  cliniques sont souvent suivies  par </w:t>
      </w:r>
      <w:proofErr w:type="gramStart"/>
      <w:r>
        <w:rPr>
          <w:rFonts w:ascii="Times New Roman" w:hAnsi="Times New Roman" w:cs="Times New Roman"/>
          <w:sz w:val="24"/>
          <w:szCs w:val="24"/>
        </w:rPr>
        <w:t>la perte prématurés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des dents.  </w:t>
      </w:r>
    </w:p>
    <w:p w:rsidR="00C93B55" w:rsidRDefault="00C93B55" w:rsidP="00C93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Ce préjudice esthétique et fonctionnel incite souvent les patients à un traitement prothétiques par une prothèse partielle adjointe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Cependant l'usage de ce type de prothèse  n'est pas sans conséquences  sur l'équilibre de l'écosystème buccal.</w:t>
      </w:r>
    </w:p>
    <w:p w:rsidR="00C93B55" w:rsidRDefault="00C93B55" w:rsidP="00C93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but de notre travail est de décrire la composition de la flore  sous gingivale avant et après le port d’une prothèse partielle adjointe</w:t>
      </w:r>
      <w:r w:rsidRPr="00B05A78">
        <w:rPr>
          <w:rFonts w:asciiTheme="majorBidi" w:hAnsiTheme="majorBidi" w:cstheme="majorBidi"/>
          <w:sz w:val="24"/>
          <w:szCs w:val="24"/>
        </w:rPr>
        <w:t xml:space="preserve"> </w:t>
      </w:r>
      <w:r w:rsidRPr="00197A89">
        <w:rPr>
          <w:rFonts w:asciiTheme="majorBidi" w:hAnsiTheme="majorBidi" w:cstheme="majorBidi"/>
          <w:sz w:val="24"/>
          <w:szCs w:val="24"/>
        </w:rPr>
        <w:t>chez les patients souffrant initia</w:t>
      </w:r>
      <w:r>
        <w:rPr>
          <w:rFonts w:asciiTheme="majorBidi" w:hAnsiTheme="majorBidi" w:cstheme="majorBidi"/>
          <w:sz w:val="24"/>
          <w:szCs w:val="24"/>
        </w:rPr>
        <w:t>lement  d'une parodontite agressive</w:t>
      </w:r>
      <w:r w:rsidRPr="00197A89">
        <w:rPr>
          <w:rFonts w:asciiTheme="majorBidi" w:hAnsiTheme="majorBidi" w:cstheme="majorBidi"/>
          <w:sz w:val="24"/>
          <w:szCs w:val="24"/>
        </w:rPr>
        <w:t>, ayant reçu un traitement parodontal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3B55" w:rsidRDefault="00C93B55" w:rsidP="00C93B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14DE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 xml:space="preserve">patients, toutes des femmes présentant une parodontite agressive , </w:t>
      </w:r>
      <w:proofErr w:type="spellStart"/>
      <w:r>
        <w:rPr>
          <w:rFonts w:ascii="Times New Roman" w:hAnsi="Times New Roman" w:cs="Times New Roman"/>
          <w:sz w:val="24"/>
          <w:szCs w:val="24"/>
        </w:rPr>
        <w:t>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moyen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27,42 ± 4,65, ayant bénéficiées d'un traitement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parodotale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suivi d'un traitement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prothètique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 une </w:t>
      </w:r>
      <w:proofErr w:type="spellStart"/>
      <w:r>
        <w:rPr>
          <w:rFonts w:ascii="Times New Roman" w:hAnsi="Times New Roman" w:cs="Times New Roman"/>
          <w:sz w:val="24"/>
          <w:szCs w:val="24"/>
        </w:rPr>
        <w:t>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prothèse partiel amovible,  sont suivies sur le plan bactériologique: </w:t>
      </w:r>
      <w:r>
        <w:rPr>
          <w:rFonts w:asciiTheme="majorBidi" w:hAnsiTheme="majorBidi" w:cstheme="majorBidi"/>
          <w:sz w:val="24"/>
          <w:szCs w:val="24"/>
        </w:rPr>
        <w:t>l</w:t>
      </w:r>
      <w:r w:rsidRPr="00FF28DF">
        <w:rPr>
          <w:rFonts w:asciiTheme="majorBidi" w:hAnsiTheme="majorBidi" w:cstheme="majorBidi"/>
          <w:sz w:val="24"/>
          <w:szCs w:val="24"/>
        </w:rPr>
        <w:t xml:space="preserve">a morphologie, la mobilité, la densité des germes microbiens et  la présence </w:t>
      </w:r>
      <w:r>
        <w:rPr>
          <w:rFonts w:asciiTheme="majorBidi" w:hAnsiTheme="majorBidi" w:cstheme="majorBidi"/>
          <w:sz w:val="24"/>
          <w:szCs w:val="24"/>
        </w:rPr>
        <w:t xml:space="preserve">d’autres </w:t>
      </w:r>
      <w:r w:rsidRPr="00FF28DF">
        <w:rPr>
          <w:rFonts w:asciiTheme="majorBidi" w:hAnsiTheme="majorBidi" w:cstheme="majorBidi"/>
          <w:sz w:val="24"/>
          <w:szCs w:val="24"/>
        </w:rPr>
        <w:t>éléments tels que les levures, ont été observés directement au microscope</w:t>
      </w:r>
      <w:r>
        <w:rPr>
          <w:rFonts w:asciiTheme="majorBidi" w:hAnsiTheme="majorBidi" w:cstheme="majorBidi"/>
          <w:sz w:val="24"/>
          <w:szCs w:val="24"/>
        </w:rPr>
        <w:t xml:space="preserve"> optique, à l'état frais et après la coloration de Gram</w:t>
      </w:r>
      <w:r>
        <w:rPr>
          <w:rFonts w:ascii="Times New Roman" w:hAnsi="Times New Roman" w:cs="Times New Roman"/>
          <w:sz w:val="24"/>
          <w:szCs w:val="24"/>
        </w:rPr>
        <w:t xml:space="preserve"> avant (T0)et après la mise en bouche de la PPA(T1) ,la durée moyenne d'observation post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prothètique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entre T0et T1 est de 15 jours. </w:t>
      </w:r>
    </w:p>
    <w:p w:rsidR="00C93B55" w:rsidRPr="005E634D" w:rsidRDefault="00C93B55" w:rsidP="00C93B55">
      <w:pPr>
        <w:rPr>
          <w:rFonts w:asciiTheme="majorBidi" w:hAnsiTheme="majorBidi" w:cstheme="majorBidi"/>
          <w:sz w:val="24"/>
          <w:szCs w:val="24"/>
        </w:rPr>
      </w:pPr>
      <w:r w:rsidRPr="005E634D">
        <w:rPr>
          <w:rFonts w:asciiTheme="majorBidi" w:hAnsiTheme="majorBidi" w:cstheme="majorBidi"/>
          <w:sz w:val="24"/>
          <w:szCs w:val="24"/>
        </w:rPr>
        <w:t>En conclusion, La comparaison des résultats  entre T0 et T1 a révélé une augmentation plus importante de la densité des bactéries Gram +  par rapport  à celle des bactéries gram-,</w:t>
      </w:r>
      <w:r>
        <w:rPr>
          <w:rFonts w:asciiTheme="majorBidi" w:hAnsiTheme="majorBidi" w:cstheme="majorBidi"/>
          <w:sz w:val="24"/>
          <w:szCs w:val="24"/>
        </w:rPr>
        <w:t xml:space="preserve"> et </w:t>
      </w:r>
      <w:r w:rsidRPr="005E634D">
        <w:rPr>
          <w:rFonts w:asciiTheme="majorBidi" w:hAnsiTheme="majorBidi" w:cstheme="majorBidi"/>
          <w:sz w:val="24"/>
          <w:szCs w:val="24"/>
        </w:rPr>
        <w:t xml:space="preserve"> augmentation de la  fréquence des sites présentant une densité importante en bâtonnets Gram- et en levures</w:t>
      </w:r>
      <w:r>
        <w:rPr>
          <w:rFonts w:asciiTheme="majorBidi" w:hAnsiTheme="majorBidi" w:cstheme="majorBidi"/>
          <w:sz w:val="24"/>
          <w:szCs w:val="24"/>
        </w:rPr>
        <w:t>.</w:t>
      </w:r>
      <w:r w:rsidRPr="005E634D">
        <w:rPr>
          <w:rFonts w:asciiTheme="majorBidi" w:hAnsiTheme="majorBidi" w:cstheme="majorBidi"/>
          <w:sz w:val="24"/>
          <w:szCs w:val="24"/>
        </w:rPr>
        <w:t xml:space="preserve">  </w:t>
      </w:r>
    </w:p>
    <w:p w:rsidR="00C93B55" w:rsidRPr="00025AEF" w:rsidRDefault="00C93B55" w:rsidP="00C93B55">
      <w:pPr>
        <w:pStyle w:val="Corpsdetexte"/>
        <w:spacing w:line="360" w:lineRule="auto"/>
        <w:ind w:left="0" w:right="118"/>
        <w:jc w:val="both"/>
        <w:rPr>
          <w:rFonts w:ascii="Times New Roman" w:eastAsiaTheme="minorHAnsi" w:hAnsi="Times New Roman" w:cs="Times New Roman"/>
          <w:lang w:val="fr-FR"/>
        </w:rPr>
      </w:pPr>
      <w:r w:rsidRPr="00025AEF">
        <w:rPr>
          <w:rFonts w:ascii="Times New Roman" w:eastAsiaTheme="minorHAnsi" w:hAnsi="Times New Roman" w:cs="Times New Roman"/>
          <w:lang w:val="fr-FR"/>
        </w:rPr>
        <w:t xml:space="preserve">  </w:t>
      </w:r>
      <w:r w:rsidRPr="00025AEF">
        <w:rPr>
          <w:rFonts w:ascii="Times New Roman" w:hAnsi="Times New Roman" w:cs="Times New Roman"/>
          <w:lang w:val="fr-FR"/>
        </w:rPr>
        <w:t xml:space="preserve">Certaines  similitudes peuvent être observées entre nos résultats et ceux de </w:t>
      </w:r>
      <w:proofErr w:type="spellStart"/>
      <w:r w:rsidRPr="00025AEF">
        <w:rPr>
          <w:rFonts w:ascii="Times New Roman" w:hAnsi="Times New Roman" w:cs="Times New Roman"/>
          <w:lang w:val="fr-FR"/>
        </w:rPr>
        <w:t>Mosenego</w:t>
      </w:r>
      <w:proofErr w:type="spellEnd"/>
      <w:r w:rsidRPr="00025AEF">
        <w:rPr>
          <w:rFonts w:ascii="Times New Roman" w:hAnsi="Times New Roman" w:cs="Times New Roman"/>
          <w:lang w:val="fr-FR"/>
        </w:rPr>
        <w:t xml:space="preserve"> concernant  l'augmentation de la densité des bactéries Gram +,  avant la mise en place de la prothèse partielle amovible nous avons remarqué l'absence des sites avec une prédominance des germes Gram +, alors qu'ils représentaient 10% après 15 jours de port prothétique, également  il a été observé comme prévue une augmentation de  la densité de levures de 30%  à T0 à 40%  à T1</w:t>
      </w:r>
      <w:r>
        <w:rPr>
          <w:rFonts w:ascii="Times New Roman" w:hAnsi="Times New Roman" w:cs="Times New Roman"/>
          <w:lang w:val="fr-FR"/>
        </w:rPr>
        <w:t>.</w:t>
      </w:r>
      <w:r w:rsidRPr="00025AEF">
        <w:rPr>
          <w:rFonts w:ascii="Times New Roman" w:hAnsi="Times New Roman" w:cs="Times New Roman"/>
          <w:lang w:val="fr-FR"/>
        </w:rPr>
        <w:t xml:space="preserve"> </w:t>
      </w:r>
    </w:p>
    <w:p w:rsidR="00C93B55" w:rsidRDefault="00C93B55" w:rsidP="00C93B55">
      <w:pPr>
        <w:rPr>
          <w:rFonts w:ascii="Times New Roman" w:eastAsia="Calibri" w:hAnsi="Times New Roman" w:cs="Times New Roman"/>
          <w:sz w:val="24"/>
          <w:szCs w:val="24"/>
        </w:rPr>
      </w:pPr>
      <w:r w:rsidRPr="00025AEF">
        <w:rPr>
          <w:rFonts w:ascii="Times New Roman" w:eastAsia="Calibri" w:hAnsi="Times New Roman" w:cs="Times New Roman"/>
          <w:sz w:val="24"/>
          <w:szCs w:val="24"/>
        </w:rPr>
        <w:t xml:space="preserve">   Concernant les différentes morphotypes bactériens, nous avons aussi remarqué  une augmentation de la  fréquence des sites présentant une densité importante 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bâtonnets Gram négatif  de 25% à 30%</w:t>
      </w:r>
      <w:r w:rsidRPr="00025AEF">
        <w:rPr>
          <w:rFonts w:ascii="Times New Roman" w:eastAsia="Calibri" w:hAnsi="Times New Roman" w:cs="Times New Roman"/>
          <w:sz w:val="24"/>
          <w:szCs w:val="24"/>
        </w:rPr>
        <w:t>, cette espèce  bactérienne est  d'un intérêt particulier parce qu'elle  représente  l'agent responsables de l'installation de la parodontite agressive et  sa présence augmente le risque de récidive,</w:t>
      </w:r>
    </w:p>
    <w:p w:rsidR="00C93B55" w:rsidRDefault="00C93B55" w:rsidP="00C93B55">
      <w:pPr>
        <w:rPr>
          <w:rFonts w:ascii="Times New Roman" w:eastAsia="Calibri" w:hAnsi="Times New Roman" w:cs="Times New Roman"/>
          <w:sz w:val="24"/>
          <w:szCs w:val="24"/>
        </w:rPr>
      </w:pPr>
    </w:p>
    <w:p w:rsidR="00C93B55" w:rsidRDefault="00C93B55" w:rsidP="00C93B55">
      <w:pPr>
        <w:rPr>
          <w:rFonts w:ascii="Times New Roman" w:eastAsia="Calibri" w:hAnsi="Times New Roman" w:cs="Times New Roman"/>
          <w:sz w:val="24"/>
          <w:szCs w:val="24"/>
        </w:rPr>
      </w:pPr>
    </w:p>
    <w:p w:rsidR="00D537F4" w:rsidRPr="00C93B55" w:rsidRDefault="00D537F4" w:rsidP="00CA43B4">
      <w:pPr>
        <w:rPr>
          <w:rFonts w:ascii="Times New Roman" w:hAnsi="Times New Roman" w:cs="Times New Roman"/>
          <w:sz w:val="24"/>
          <w:szCs w:val="24"/>
        </w:rPr>
      </w:pPr>
    </w:p>
    <w:p w:rsidR="00062DD4" w:rsidRPr="00C93B55" w:rsidRDefault="00D537F4" w:rsidP="00CA43B4">
      <w:pPr>
        <w:rPr>
          <w:rFonts w:ascii="Times New Roman" w:hAnsi="Times New Roman" w:cs="Times New Roman"/>
          <w:sz w:val="24"/>
          <w:szCs w:val="24"/>
        </w:rPr>
      </w:pPr>
      <w:r w:rsidRPr="00C93B5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CA43B4" w:rsidRPr="00C93B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A" w:rsidRPr="00C93B55" w:rsidRDefault="00450DD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50DDA" w:rsidRPr="00C93B55" w:rsidRDefault="00450DD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450DDA" w:rsidRPr="00C93B55" w:rsidRDefault="00450DDA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50DDA" w:rsidRPr="00C93B55" w:rsidSect="00B624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47E44"/>
    <w:multiLevelType w:val="hybridMultilevel"/>
    <w:tmpl w:val="7B76CB0A"/>
    <w:lvl w:ilvl="0" w:tplc="90AC93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B1D13"/>
    <w:rsid w:val="00014F7B"/>
    <w:rsid w:val="00062DD4"/>
    <w:rsid w:val="001A1004"/>
    <w:rsid w:val="001D4F66"/>
    <w:rsid w:val="00236AED"/>
    <w:rsid w:val="002B3766"/>
    <w:rsid w:val="003B4D37"/>
    <w:rsid w:val="00450DDA"/>
    <w:rsid w:val="004B74AE"/>
    <w:rsid w:val="005A1F8C"/>
    <w:rsid w:val="005A3851"/>
    <w:rsid w:val="005E634D"/>
    <w:rsid w:val="0066393E"/>
    <w:rsid w:val="006E3C83"/>
    <w:rsid w:val="00927DEF"/>
    <w:rsid w:val="009D055B"/>
    <w:rsid w:val="00AD1925"/>
    <w:rsid w:val="00B05A78"/>
    <w:rsid w:val="00B112A2"/>
    <w:rsid w:val="00B62401"/>
    <w:rsid w:val="00B64152"/>
    <w:rsid w:val="00C24E2A"/>
    <w:rsid w:val="00C93B55"/>
    <w:rsid w:val="00CA43B4"/>
    <w:rsid w:val="00D50C29"/>
    <w:rsid w:val="00D537F4"/>
    <w:rsid w:val="00D8279A"/>
    <w:rsid w:val="00DB3831"/>
    <w:rsid w:val="00DF14DE"/>
    <w:rsid w:val="00E72F86"/>
    <w:rsid w:val="00ED1BDB"/>
    <w:rsid w:val="00FB1D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2DD4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unhideWhenUsed/>
    <w:qFormat/>
    <w:rsid w:val="00B112A2"/>
    <w:pPr>
      <w:widowControl w:val="0"/>
      <w:spacing w:after="0" w:line="240" w:lineRule="auto"/>
      <w:ind w:left="119"/>
    </w:pPr>
    <w:rPr>
      <w:rFonts w:ascii="Calibri" w:eastAsia="Calibri" w:hAnsi="Calibri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B112A2"/>
    <w:rPr>
      <w:rFonts w:ascii="Calibri" w:eastAsia="Calibri" w:hAnsi="Calibri"/>
      <w:sz w:val="24"/>
      <w:szCs w:val="24"/>
      <w:lang w:val="en-US"/>
    </w:rPr>
  </w:style>
  <w:style w:type="character" w:customStyle="1" w:styleId="shorttext">
    <w:name w:val="short_text"/>
    <w:basedOn w:val="Policepardfaut"/>
    <w:rsid w:val="00927D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2D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BOUMEDIEN</cp:lastModifiedBy>
  <cp:revision>5</cp:revision>
  <dcterms:created xsi:type="dcterms:W3CDTF">2017-05-19T08:33:00Z</dcterms:created>
  <dcterms:modified xsi:type="dcterms:W3CDTF">2017-05-19T09:38:00Z</dcterms:modified>
</cp:coreProperties>
</file>