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78C" w:rsidRDefault="00A4678C" w:rsidP="00A4678C">
      <w:pPr>
        <w:jc w:val="both"/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</w:pPr>
      <w:r w:rsidRPr="005F2F02">
        <w:rPr>
          <w:b/>
          <w:bCs/>
          <w:noProof/>
          <w:sz w:val="96"/>
          <w:szCs w:val="72"/>
          <w:lang w:val="en-GB" w:eastAsia="en-GB"/>
        </w:rPr>
        <w:drawing>
          <wp:inline distT="0" distB="0" distL="0" distR="0" wp14:anchorId="3EB7921D" wp14:editId="236D2CCB">
            <wp:extent cx="887239" cy="848663"/>
            <wp:effectExtent l="0" t="0" r="1905" b="2540"/>
            <wp:docPr id="23" name="Picture 23" descr="C:\Users\Asus\Downloads\IMG_5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wnloads\IMG_51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0" cy="85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78C" w:rsidRDefault="00A4678C" w:rsidP="00A4678C">
      <w:pPr>
        <w:jc w:val="both"/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</w:pPr>
    </w:p>
    <w:p w:rsidR="00A4678C" w:rsidRDefault="00A4678C" w:rsidP="00282D6A">
      <w:pPr>
        <w:jc w:val="both"/>
        <w:rPr>
          <w:rFonts w:asciiTheme="majorBidi" w:hAnsiTheme="majorBidi" w:cstheme="majorBidi"/>
          <w:b/>
          <w:bCs/>
          <w:color w:val="0070C0"/>
          <w:sz w:val="32"/>
          <w:szCs w:val="32"/>
          <w:shd w:val="clear" w:color="auto" w:fill="FFFFFF"/>
          <w:lang w:val="en-US"/>
        </w:rPr>
      </w:pPr>
      <w:r w:rsidRPr="00AC145B">
        <w:rPr>
          <w:rFonts w:asciiTheme="majorBidi" w:hAnsiTheme="majorBidi" w:cstheme="majorBidi"/>
          <w:b/>
          <w:bCs/>
          <w:color w:val="0070C0"/>
          <w:sz w:val="32"/>
          <w:szCs w:val="32"/>
          <w:shd w:val="clear" w:color="auto" w:fill="FFFFFF"/>
          <w:lang w:val="en-US"/>
        </w:rPr>
        <w:t>Reasons to seek periodontal treatment in a libyan community</w:t>
      </w:r>
    </w:p>
    <w:p w:rsidR="00A4678C" w:rsidRPr="00AC145B" w:rsidRDefault="00A4678C" w:rsidP="00A4678C">
      <w:pPr>
        <w:rPr>
          <w:sz w:val="18"/>
          <w:szCs w:val="18"/>
          <w:lang w:val="en-US"/>
        </w:rPr>
      </w:pPr>
      <w:r w:rsidRPr="00AC145B">
        <w:rPr>
          <w:sz w:val="18"/>
          <w:szCs w:val="18"/>
          <w:lang w:val="en-US"/>
        </w:rPr>
        <w:t>Ahmed Taher Elhassan, BDS, PhD, University of Benghazi, Libya</w:t>
      </w:r>
    </w:p>
    <w:p w:rsidR="00A4678C" w:rsidRDefault="00A4678C" w:rsidP="00A4678C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Hatem </w:t>
      </w:r>
      <w:proofErr w:type="spellStart"/>
      <w:r>
        <w:rPr>
          <w:sz w:val="18"/>
          <w:szCs w:val="18"/>
          <w:lang w:val="en-US"/>
        </w:rPr>
        <w:t>Alfakry</w:t>
      </w:r>
      <w:proofErr w:type="spellEnd"/>
      <w:r w:rsidR="00190BB5" w:rsidRPr="00190BB5">
        <w:rPr>
          <w:b/>
          <w:bCs/>
          <w:sz w:val="18"/>
          <w:szCs w:val="18"/>
          <w:lang w:val="en-US"/>
        </w:rPr>
        <w:sym w:font="Symbol" w:char="F02A"/>
      </w:r>
      <w:r>
        <w:rPr>
          <w:sz w:val="18"/>
          <w:szCs w:val="18"/>
          <w:lang w:val="en-US"/>
        </w:rPr>
        <w:t>, BDS, PhD, University of Helsinki, Finland</w:t>
      </w:r>
    </w:p>
    <w:p w:rsidR="00A4678C" w:rsidRPr="00AC145B" w:rsidRDefault="00A4678C" w:rsidP="00A4678C">
      <w:pPr>
        <w:rPr>
          <w:rFonts w:asciiTheme="minorBidi" w:hAnsiTheme="minorBidi"/>
          <w:sz w:val="18"/>
          <w:szCs w:val="18"/>
          <w:lang w:val="en-US"/>
        </w:rPr>
      </w:pPr>
      <w:r>
        <w:rPr>
          <w:rFonts w:asciiTheme="minorBidi" w:hAnsiTheme="minorBidi"/>
          <w:sz w:val="18"/>
          <w:szCs w:val="18"/>
          <w:lang w:val="en-US"/>
        </w:rPr>
        <w:t xml:space="preserve">Syed </w:t>
      </w:r>
      <w:proofErr w:type="spellStart"/>
      <w:r>
        <w:rPr>
          <w:rFonts w:asciiTheme="minorBidi" w:hAnsiTheme="minorBidi"/>
          <w:sz w:val="18"/>
          <w:szCs w:val="18"/>
          <w:lang w:val="en-US"/>
        </w:rPr>
        <w:t>Wali</w:t>
      </w:r>
      <w:proofErr w:type="spellEnd"/>
      <w:r>
        <w:rPr>
          <w:rFonts w:asciiTheme="minorBidi" w:hAnsiTheme="minorBidi"/>
          <w:sz w:val="18"/>
          <w:szCs w:val="18"/>
          <w:lang w:val="en-US"/>
        </w:rPr>
        <w:t xml:space="preserve"> </w:t>
      </w:r>
      <w:proofErr w:type="spellStart"/>
      <w:r>
        <w:rPr>
          <w:rFonts w:asciiTheme="minorBidi" w:hAnsiTheme="minorBidi"/>
          <w:sz w:val="18"/>
          <w:szCs w:val="18"/>
          <w:lang w:val="en-US"/>
        </w:rPr>
        <w:t>Peeran</w:t>
      </w:r>
      <w:proofErr w:type="spellEnd"/>
      <w:r>
        <w:rPr>
          <w:rFonts w:asciiTheme="minorBidi" w:hAnsiTheme="minorBidi"/>
          <w:sz w:val="18"/>
          <w:szCs w:val="18"/>
          <w:lang w:val="en-US"/>
        </w:rPr>
        <w:t xml:space="preserve">, BDS, PhD, </w:t>
      </w:r>
      <w:proofErr w:type="spellStart"/>
      <w:r>
        <w:rPr>
          <w:rFonts w:asciiTheme="minorBidi" w:hAnsiTheme="minorBidi"/>
          <w:sz w:val="18"/>
          <w:szCs w:val="18"/>
          <w:lang w:val="en-US"/>
        </w:rPr>
        <w:t>Sebha</w:t>
      </w:r>
      <w:proofErr w:type="spellEnd"/>
      <w:r>
        <w:rPr>
          <w:rFonts w:asciiTheme="minorBidi" w:hAnsiTheme="minorBidi"/>
          <w:sz w:val="18"/>
          <w:szCs w:val="18"/>
          <w:lang w:val="en-US"/>
        </w:rPr>
        <w:t xml:space="preserve"> University, Libya</w:t>
      </w:r>
    </w:p>
    <w:p w:rsidR="00A4678C" w:rsidRDefault="00A4678C" w:rsidP="00A4678C">
      <w:pPr>
        <w:jc w:val="both"/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</w:pPr>
      <w:r w:rsidRPr="00A4678C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Abstract</w:t>
      </w:r>
    </w:p>
    <w:p w:rsidR="00A4678C" w:rsidRPr="00A4678C" w:rsidRDefault="00A4678C" w:rsidP="00A4678C">
      <w:pPr>
        <w:jc w:val="both"/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  <w:r w:rsidRPr="00AC145B"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>Periodontitis is a persistent bacterial infection characterized by the destruction of the tooth-supporting structures and can lead to tooth loss. By triggering inflammatory reactions, periodontitis can detrimentally affect systemic health. Periodontitis is a prevalent disease in developed countries, whereas none is known about its prevalence or the motivations to ask for periodontal treatment in Libya.</w:t>
      </w:r>
      <w:r w:rsidRPr="00A4678C"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 xml:space="preserve"> We aimed</w:t>
      </w:r>
      <w:r w:rsidRPr="00AC145B"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 xml:space="preserve"> to understand and analyze the motivation factors to seek periodontal care in the Libyan community; we recorded the chief complaints (CCs) of Libyan patients seeking periodontal treatment in a dental clinic. To our knowledge, this is the first attempt to gather data regarding periodontal dis</w:t>
      </w:r>
      <w:r w:rsidRPr="00A4678C"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>ease and the associated CCs in Libya</w:t>
      </w:r>
      <w:r w:rsidRPr="00AC145B"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>.</w:t>
      </w:r>
      <w:r w:rsidRPr="00A4678C">
        <w:rPr>
          <w:rFonts w:ascii="Tw Cen MT" w:hAnsi="Tw Cen MT" w:cs="Arial"/>
          <w:b/>
          <w:bCs/>
          <w:color w:val="000000"/>
          <w:sz w:val="18"/>
          <w:szCs w:val="18"/>
          <w:lang w:val="en-US"/>
        </w:rPr>
        <w:t> </w:t>
      </w:r>
      <w:r w:rsidRPr="00AC145B"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>A total of 121 Libyan patients with periodontitis who sought periodontal care in a private polyclinic were examined. Their CCs were recorded and grouped into true periodontal CC, emergency, esthetic, or referral based.</w:t>
      </w:r>
      <w:r w:rsidRPr="00A4678C"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AC145B"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 xml:space="preserve">Most of the patients had moderate-to-severe chronic periodontitis. The examiner recorded 170 CCs. They were divided into 14 different CC groups. The most popular CC (32%) was “I was told that I have gum disease,” which is not a true periodontal CC. The second (31%) was “my gum bleeds when I brush my teeth,” which represents a true periodontal CC. Pain constituted only 3% of the patients' complaints. Other true periodontal CCs reported in descending order were: teeth mobility, recession, gum enlargement, bad odor, tooth sensitivity, and gum discoloration. </w:t>
      </w: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0" allowOverlap="1" wp14:anchorId="1FD98DB4" wp14:editId="781E07A8">
            <wp:simplePos x="0" y="0"/>
            <wp:positionH relativeFrom="page">
              <wp:posOffset>6411262</wp:posOffset>
            </wp:positionH>
            <wp:positionV relativeFrom="page">
              <wp:posOffset>894583</wp:posOffset>
            </wp:positionV>
            <wp:extent cx="897255" cy="848360"/>
            <wp:effectExtent l="0" t="0" r="4445" b="2540"/>
            <wp:wrapNone/>
            <wp:docPr id="24" name="Picture 24" descr="HY__LH01_laakeF____B6__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0" descr="HY__LH01_laakeF____B6___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  <w:r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ab/>
      </w:r>
      <w:r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ab/>
      </w:r>
      <w:r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ab/>
      </w:r>
      <w:r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ab/>
      </w: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  <w:bookmarkStart w:id="0" w:name="_GoBack"/>
      <w:bookmarkEnd w:id="0"/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EF54CC" w:rsidRDefault="00EF54C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EF54CC" w:rsidRDefault="00EF54C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EF54CC" w:rsidRDefault="00EF54C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  <w:r w:rsidRPr="00AC145B"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>All together constituted 20%. The rest presented for checkup and “cleaning” (9%) or were referred before commencing orthodontic treatment (4%) or implant placement (1%).</w:t>
      </w:r>
      <w:r w:rsidRPr="00A4678C"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AC145B"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>The major motivation factor was found to be the information given to the patient that they had periodontal problems. This emphasizes the crucial role of health-care providers in determining patients with periodont</w:t>
      </w:r>
      <w:r w:rsidRPr="00A4678C"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 xml:space="preserve">itis </w:t>
      </w:r>
      <w:r w:rsidRPr="00AC145B"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  <w:t>and raises the awareness level of this silent disease among the Libyan population.</w:t>
      </w:r>
    </w:p>
    <w:p w:rsidR="00A4678C" w:rsidRDefault="00A4678C" w:rsidP="00A4678C">
      <w:pPr>
        <w:jc w:val="both"/>
        <w:rPr>
          <w:rFonts w:ascii="Tw Cen MT" w:hAnsi="Tw Cen MT" w:cs="Arial"/>
          <w:color w:val="000000"/>
          <w:sz w:val="18"/>
          <w:szCs w:val="18"/>
          <w:shd w:val="clear" w:color="auto" w:fill="FFFFFF"/>
          <w:lang w:val="en-US"/>
        </w:rPr>
      </w:pPr>
    </w:p>
    <w:p w:rsidR="00A4678C" w:rsidRPr="00A4678C" w:rsidRDefault="00A4678C" w:rsidP="00A4678C">
      <w:pPr>
        <w:jc w:val="both"/>
        <w:rPr>
          <w:rFonts w:asciiTheme="minorBidi" w:hAnsiTheme="minorBidi"/>
          <w:b/>
          <w:bCs/>
          <w:color w:val="000000"/>
          <w:sz w:val="18"/>
          <w:szCs w:val="18"/>
          <w:shd w:val="clear" w:color="auto" w:fill="FFFFFF"/>
          <w:lang w:val="en-US"/>
        </w:rPr>
      </w:pPr>
      <w:r w:rsidRPr="00A4678C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Recent Publications</w:t>
      </w:r>
    </w:p>
    <w:p w:rsidR="00A4678C" w:rsidRPr="00A4678C" w:rsidRDefault="00A4678C" w:rsidP="00A4678C">
      <w:pPr>
        <w:pStyle w:val="Default"/>
        <w:spacing w:before="240"/>
        <w:jc w:val="both"/>
        <w:rPr>
          <w:rFonts w:ascii="Tw Cen MT" w:hAnsi="Tw Cen MT" w:cstheme="minorBidi"/>
          <w:sz w:val="18"/>
          <w:szCs w:val="18"/>
          <w:lang w:val="en-GB"/>
        </w:rPr>
      </w:pPr>
      <w:r w:rsidRPr="00190BB5">
        <w:rPr>
          <w:rFonts w:ascii="Tw Cen MT" w:hAnsi="Tw Cen MT" w:cstheme="minorBidi"/>
          <w:b/>
          <w:bCs/>
          <w:sz w:val="18"/>
          <w:szCs w:val="18"/>
          <w:lang w:val="en-US"/>
        </w:rPr>
        <w:t>1.</w:t>
      </w:r>
      <w:r w:rsidRPr="00190BB5">
        <w:rPr>
          <w:rFonts w:ascii="Tw Cen MT" w:hAnsi="Tw Cen MT" w:cstheme="minorBidi"/>
          <w:sz w:val="18"/>
          <w:szCs w:val="18"/>
          <w:lang w:val="en-US"/>
        </w:rPr>
        <w:t xml:space="preserve"> </w:t>
      </w:r>
      <w:proofErr w:type="spellStart"/>
      <w:r w:rsidRPr="00190BB5">
        <w:rPr>
          <w:rFonts w:ascii="Tw Cen MT" w:hAnsi="Tw Cen MT" w:cstheme="minorBidi"/>
          <w:sz w:val="18"/>
          <w:szCs w:val="18"/>
          <w:lang w:val="en-US"/>
        </w:rPr>
        <w:t>Alfakry</w:t>
      </w:r>
      <w:proofErr w:type="spellEnd"/>
      <w:r w:rsidRPr="00190BB5">
        <w:rPr>
          <w:rFonts w:ascii="Tw Cen MT" w:hAnsi="Tw Cen MT" w:cstheme="minorBidi"/>
          <w:sz w:val="18"/>
          <w:szCs w:val="18"/>
          <w:lang w:val="en-US"/>
        </w:rPr>
        <w:t xml:space="preserve"> H, </w:t>
      </w:r>
      <w:proofErr w:type="spellStart"/>
      <w:r w:rsidRPr="00190BB5">
        <w:rPr>
          <w:rFonts w:ascii="Tw Cen MT" w:hAnsi="Tw Cen MT" w:cstheme="minorBidi"/>
          <w:sz w:val="18"/>
          <w:szCs w:val="18"/>
          <w:lang w:val="en-US"/>
        </w:rPr>
        <w:t>Paju</w:t>
      </w:r>
      <w:proofErr w:type="spellEnd"/>
      <w:r w:rsidRPr="00190BB5">
        <w:rPr>
          <w:rFonts w:ascii="Tw Cen MT" w:hAnsi="Tw Cen MT" w:cstheme="minorBidi"/>
          <w:sz w:val="18"/>
          <w:szCs w:val="18"/>
          <w:lang w:val="en-US"/>
        </w:rPr>
        <w:t xml:space="preserve"> S, </w:t>
      </w:r>
      <w:proofErr w:type="spellStart"/>
      <w:r w:rsidRPr="00190BB5">
        <w:rPr>
          <w:rFonts w:ascii="Tw Cen MT" w:hAnsi="Tw Cen MT" w:cstheme="minorBidi"/>
          <w:sz w:val="18"/>
          <w:szCs w:val="18"/>
          <w:lang w:val="en-US"/>
        </w:rPr>
        <w:t>Sinisalo</w:t>
      </w:r>
      <w:proofErr w:type="spellEnd"/>
      <w:r w:rsidRPr="00190BB5">
        <w:rPr>
          <w:rFonts w:ascii="Tw Cen MT" w:hAnsi="Tw Cen MT" w:cstheme="minorBidi"/>
          <w:sz w:val="18"/>
          <w:szCs w:val="18"/>
          <w:lang w:val="en-US"/>
        </w:rPr>
        <w:t xml:space="preserve"> J, et al. </w:t>
      </w:r>
      <w:r w:rsidRPr="00A4678C">
        <w:rPr>
          <w:rFonts w:ascii="Tw Cen MT" w:hAnsi="Tw Cen MT" w:cstheme="minorBidi"/>
          <w:sz w:val="18"/>
          <w:szCs w:val="18"/>
          <w:lang w:val="en-US"/>
        </w:rPr>
        <w:t>(</w:t>
      </w:r>
      <w:r w:rsidRPr="00A4678C">
        <w:rPr>
          <w:rFonts w:ascii="Tw Cen MT" w:hAnsi="Tw Cen MT" w:cstheme="minorBidi"/>
          <w:sz w:val="18"/>
          <w:szCs w:val="18"/>
          <w:lang w:val="en-GB"/>
        </w:rPr>
        <w:t xml:space="preserve">2011) Periodontopathogen-and host-derived immune response in acute coronary syndrome. </w:t>
      </w:r>
      <w:proofErr w:type="spellStart"/>
      <w:r w:rsidRPr="00A4678C">
        <w:rPr>
          <w:rFonts w:ascii="Tw Cen MT" w:hAnsi="Tw Cen MT" w:cstheme="minorBidi"/>
          <w:sz w:val="18"/>
          <w:szCs w:val="18"/>
          <w:lang w:val="en-GB"/>
        </w:rPr>
        <w:t>Scand</w:t>
      </w:r>
      <w:proofErr w:type="spellEnd"/>
      <w:r w:rsidRPr="00A4678C">
        <w:rPr>
          <w:rFonts w:ascii="Tw Cen MT" w:hAnsi="Tw Cen MT" w:cstheme="minorBidi"/>
          <w:sz w:val="18"/>
          <w:szCs w:val="18"/>
          <w:lang w:val="en-GB"/>
        </w:rPr>
        <w:t xml:space="preserve"> J Immunol. Oct;74(4):383-9.</w:t>
      </w:r>
    </w:p>
    <w:p w:rsidR="00A4678C" w:rsidRPr="00A4678C" w:rsidRDefault="00A4678C" w:rsidP="00A4678C">
      <w:pPr>
        <w:pStyle w:val="Default"/>
        <w:spacing w:before="240"/>
        <w:jc w:val="both"/>
        <w:rPr>
          <w:rFonts w:ascii="Tw Cen MT" w:hAnsi="Tw Cen MT" w:cstheme="minorBidi"/>
          <w:sz w:val="18"/>
          <w:szCs w:val="18"/>
          <w:lang w:val="en-GB"/>
        </w:rPr>
      </w:pPr>
      <w:r w:rsidRPr="00190BB5">
        <w:rPr>
          <w:rFonts w:ascii="Tw Cen MT" w:hAnsi="Tw Cen MT" w:cstheme="minorBidi"/>
          <w:b/>
          <w:bCs/>
          <w:sz w:val="18"/>
          <w:szCs w:val="18"/>
          <w:lang w:val="en-US"/>
        </w:rPr>
        <w:t xml:space="preserve">2. </w:t>
      </w:r>
      <w:proofErr w:type="spellStart"/>
      <w:r w:rsidRPr="00190BB5">
        <w:rPr>
          <w:rFonts w:ascii="Tw Cen MT" w:hAnsi="Tw Cen MT" w:cstheme="minorBidi"/>
          <w:sz w:val="18"/>
          <w:szCs w:val="18"/>
          <w:lang w:val="en-US"/>
        </w:rPr>
        <w:t>Alfakry</w:t>
      </w:r>
      <w:proofErr w:type="spellEnd"/>
      <w:r w:rsidRPr="00190BB5">
        <w:rPr>
          <w:rFonts w:ascii="Tw Cen MT" w:hAnsi="Tw Cen MT" w:cstheme="minorBidi"/>
          <w:sz w:val="18"/>
          <w:szCs w:val="18"/>
          <w:lang w:val="en-US"/>
        </w:rPr>
        <w:t xml:space="preserve"> H, </w:t>
      </w:r>
      <w:proofErr w:type="spellStart"/>
      <w:r w:rsidRPr="00190BB5">
        <w:rPr>
          <w:rFonts w:ascii="Tw Cen MT" w:hAnsi="Tw Cen MT" w:cstheme="minorBidi"/>
          <w:sz w:val="18"/>
          <w:szCs w:val="18"/>
          <w:lang w:val="en-US"/>
        </w:rPr>
        <w:t>Sinisalo</w:t>
      </w:r>
      <w:proofErr w:type="spellEnd"/>
      <w:r w:rsidRPr="00190BB5">
        <w:rPr>
          <w:rFonts w:ascii="Tw Cen MT" w:hAnsi="Tw Cen MT" w:cstheme="minorBidi"/>
          <w:sz w:val="18"/>
          <w:szCs w:val="18"/>
          <w:lang w:val="en-US"/>
        </w:rPr>
        <w:t xml:space="preserve"> J, </w:t>
      </w:r>
      <w:proofErr w:type="spellStart"/>
      <w:r w:rsidRPr="00190BB5">
        <w:rPr>
          <w:rFonts w:ascii="Tw Cen MT" w:hAnsi="Tw Cen MT" w:cstheme="minorBidi"/>
          <w:sz w:val="18"/>
          <w:szCs w:val="18"/>
          <w:lang w:val="en-US"/>
        </w:rPr>
        <w:t>Paju</w:t>
      </w:r>
      <w:proofErr w:type="spellEnd"/>
      <w:r w:rsidRPr="00190BB5">
        <w:rPr>
          <w:rFonts w:ascii="Tw Cen MT" w:hAnsi="Tw Cen MT" w:cstheme="minorBidi"/>
          <w:sz w:val="18"/>
          <w:szCs w:val="18"/>
          <w:lang w:val="en-US"/>
        </w:rPr>
        <w:t xml:space="preserve"> S, et al. </w:t>
      </w:r>
      <w:r w:rsidRPr="00A4678C">
        <w:rPr>
          <w:rFonts w:ascii="Tw Cen MT" w:hAnsi="Tw Cen MT" w:cstheme="minorBidi"/>
          <w:sz w:val="18"/>
          <w:szCs w:val="18"/>
          <w:lang w:val="en-US"/>
        </w:rPr>
        <w:t xml:space="preserve">(2012) </w:t>
      </w:r>
      <w:r w:rsidRPr="00A4678C">
        <w:rPr>
          <w:rFonts w:ascii="Tw Cen MT" w:hAnsi="Tw Cen MT" w:cstheme="minorBidi"/>
          <w:sz w:val="18"/>
          <w:szCs w:val="18"/>
          <w:lang w:val="en-GB"/>
        </w:rPr>
        <w:t xml:space="preserve">The association between serum neutrophil markers and acute coronary syndrome. </w:t>
      </w:r>
      <w:proofErr w:type="spellStart"/>
      <w:r w:rsidRPr="00A4678C">
        <w:rPr>
          <w:rFonts w:ascii="Tw Cen MT" w:hAnsi="Tw Cen MT" w:cstheme="minorBidi"/>
          <w:sz w:val="18"/>
          <w:szCs w:val="18"/>
          <w:lang w:val="en-GB"/>
        </w:rPr>
        <w:t>Scand</w:t>
      </w:r>
      <w:proofErr w:type="spellEnd"/>
      <w:r w:rsidRPr="00A4678C">
        <w:rPr>
          <w:rFonts w:ascii="Tw Cen MT" w:hAnsi="Tw Cen MT" w:cstheme="minorBidi"/>
          <w:sz w:val="18"/>
          <w:szCs w:val="18"/>
          <w:lang w:val="en-GB"/>
        </w:rPr>
        <w:t xml:space="preserve"> J Immunol. Aug;76(2):181-7.</w:t>
      </w:r>
    </w:p>
    <w:p w:rsidR="00A4678C" w:rsidRPr="00A4678C" w:rsidRDefault="00A4678C" w:rsidP="00A4678C">
      <w:pPr>
        <w:spacing w:before="240" w:after="240"/>
        <w:jc w:val="both"/>
        <w:rPr>
          <w:rFonts w:ascii="Tw Cen MT" w:hAnsi="Tw Cen MT"/>
          <w:sz w:val="18"/>
          <w:szCs w:val="18"/>
          <w:lang w:val="en-US"/>
        </w:rPr>
      </w:pPr>
      <w:r w:rsidRPr="00190BB5">
        <w:rPr>
          <w:rFonts w:ascii="Tw Cen MT" w:hAnsi="Tw Cen MT"/>
          <w:b/>
          <w:bCs/>
          <w:sz w:val="18"/>
          <w:szCs w:val="18"/>
          <w:lang w:val="en-US"/>
        </w:rPr>
        <w:t xml:space="preserve">3. </w:t>
      </w:r>
      <w:proofErr w:type="spellStart"/>
      <w:r w:rsidRPr="00190BB5">
        <w:rPr>
          <w:rFonts w:ascii="Tw Cen MT" w:hAnsi="Tw Cen MT"/>
          <w:sz w:val="18"/>
          <w:szCs w:val="18"/>
          <w:lang w:val="en-US"/>
        </w:rPr>
        <w:t>Kormi</w:t>
      </w:r>
      <w:proofErr w:type="spellEnd"/>
      <w:r w:rsidRPr="00190BB5">
        <w:rPr>
          <w:rFonts w:ascii="Tw Cen MT" w:hAnsi="Tw Cen MT"/>
          <w:sz w:val="18"/>
          <w:szCs w:val="18"/>
          <w:lang w:val="en-US"/>
        </w:rPr>
        <w:t xml:space="preserve"> I*, </w:t>
      </w:r>
      <w:proofErr w:type="spellStart"/>
      <w:r w:rsidRPr="00190BB5">
        <w:rPr>
          <w:rFonts w:ascii="Tw Cen MT" w:hAnsi="Tw Cen MT"/>
          <w:sz w:val="18"/>
          <w:szCs w:val="18"/>
          <w:lang w:val="en-US"/>
        </w:rPr>
        <w:t>Alfakry</w:t>
      </w:r>
      <w:proofErr w:type="spellEnd"/>
      <w:r w:rsidRPr="00190BB5">
        <w:rPr>
          <w:rFonts w:ascii="Tw Cen MT" w:hAnsi="Tw Cen MT"/>
          <w:sz w:val="18"/>
          <w:szCs w:val="18"/>
          <w:lang w:val="en-US"/>
        </w:rPr>
        <w:t xml:space="preserve"> H*, </w:t>
      </w:r>
      <w:proofErr w:type="spellStart"/>
      <w:r w:rsidRPr="00190BB5">
        <w:rPr>
          <w:rFonts w:ascii="Tw Cen MT" w:hAnsi="Tw Cen MT"/>
          <w:sz w:val="18"/>
          <w:szCs w:val="18"/>
          <w:lang w:val="en-US"/>
        </w:rPr>
        <w:t>Tervahartiala</w:t>
      </w:r>
      <w:proofErr w:type="spellEnd"/>
      <w:r w:rsidRPr="00190BB5">
        <w:rPr>
          <w:rFonts w:ascii="Tw Cen MT" w:hAnsi="Tw Cen MT"/>
          <w:sz w:val="18"/>
          <w:szCs w:val="18"/>
          <w:lang w:val="en-US"/>
        </w:rPr>
        <w:t xml:space="preserve"> T, et al. </w:t>
      </w:r>
      <w:r w:rsidRPr="00A4678C">
        <w:rPr>
          <w:rFonts w:ascii="Tw Cen MT" w:hAnsi="Tw Cen MT"/>
          <w:sz w:val="18"/>
          <w:szCs w:val="18"/>
          <w:lang w:val="en-US"/>
        </w:rPr>
        <w:t xml:space="preserve">(2014) The Effect of prolonged systemic doxycycline therapy on serum tissue degrading proteinases in coronary bypass patients: a randomized, double-masked, placebo-controlled clinical trial. </w:t>
      </w:r>
      <w:proofErr w:type="spellStart"/>
      <w:r w:rsidRPr="00A4678C">
        <w:rPr>
          <w:rFonts w:ascii="Tw Cen MT" w:hAnsi="Tw Cen MT"/>
          <w:sz w:val="18"/>
          <w:szCs w:val="18"/>
          <w:lang w:val="en-US"/>
        </w:rPr>
        <w:t>Inflamm</w:t>
      </w:r>
      <w:proofErr w:type="spellEnd"/>
      <w:r w:rsidRPr="00A4678C">
        <w:rPr>
          <w:rFonts w:ascii="Tw Cen MT" w:hAnsi="Tw Cen MT"/>
          <w:sz w:val="18"/>
          <w:szCs w:val="18"/>
          <w:lang w:val="en-US"/>
        </w:rPr>
        <w:t xml:space="preserve"> Res. May;63(5):329-34.</w:t>
      </w:r>
    </w:p>
    <w:p w:rsidR="00A4678C" w:rsidRPr="00A4678C" w:rsidRDefault="00A4678C" w:rsidP="00A4678C">
      <w:pPr>
        <w:autoSpaceDE w:val="0"/>
        <w:autoSpaceDN w:val="0"/>
        <w:adjustRightInd w:val="0"/>
        <w:jc w:val="both"/>
        <w:rPr>
          <w:rFonts w:ascii="Tw Cen MT" w:hAnsi="Tw Cen MT"/>
          <w:sz w:val="18"/>
          <w:szCs w:val="18"/>
          <w:lang w:val="en-US"/>
        </w:rPr>
      </w:pPr>
      <w:r w:rsidRPr="00190BB5">
        <w:rPr>
          <w:rFonts w:ascii="Tw Cen MT" w:hAnsi="Tw Cen MT"/>
          <w:b/>
          <w:sz w:val="18"/>
          <w:szCs w:val="18"/>
          <w:lang w:val="en-US"/>
        </w:rPr>
        <w:t xml:space="preserve">4. </w:t>
      </w:r>
      <w:proofErr w:type="spellStart"/>
      <w:r w:rsidRPr="00190BB5">
        <w:rPr>
          <w:rFonts w:ascii="Tw Cen MT" w:hAnsi="Tw Cen MT"/>
          <w:sz w:val="18"/>
          <w:szCs w:val="18"/>
          <w:lang w:val="en-US"/>
        </w:rPr>
        <w:t>Alfakry</w:t>
      </w:r>
      <w:proofErr w:type="spellEnd"/>
      <w:r w:rsidRPr="00190BB5">
        <w:rPr>
          <w:rFonts w:ascii="Tw Cen MT" w:hAnsi="Tw Cen MT"/>
          <w:sz w:val="18"/>
          <w:szCs w:val="18"/>
          <w:lang w:val="en-US"/>
        </w:rPr>
        <w:t xml:space="preserve"> H, </w:t>
      </w:r>
      <w:proofErr w:type="spellStart"/>
      <w:r w:rsidRPr="00190BB5">
        <w:rPr>
          <w:rFonts w:ascii="Tw Cen MT" w:hAnsi="Tw Cen MT"/>
          <w:sz w:val="18"/>
          <w:szCs w:val="18"/>
          <w:lang w:val="en-US"/>
        </w:rPr>
        <w:t>Malle</w:t>
      </w:r>
      <w:proofErr w:type="spellEnd"/>
      <w:r w:rsidRPr="00190BB5">
        <w:rPr>
          <w:rFonts w:ascii="Tw Cen MT" w:hAnsi="Tw Cen MT"/>
          <w:sz w:val="18"/>
          <w:szCs w:val="18"/>
          <w:lang w:val="en-US"/>
        </w:rPr>
        <w:t xml:space="preserve"> E, </w:t>
      </w:r>
      <w:proofErr w:type="spellStart"/>
      <w:r w:rsidRPr="00190BB5">
        <w:rPr>
          <w:rFonts w:ascii="Tw Cen MT" w:hAnsi="Tw Cen MT"/>
          <w:sz w:val="18"/>
          <w:szCs w:val="18"/>
          <w:lang w:val="en-US"/>
        </w:rPr>
        <w:t>Koyani</w:t>
      </w:r>
      <w:proofErr w:type="spellEnd"/>
      <w:r w:rsidRPr="00190BB5">
        <w:rPr>
          <w:rFonts w:ascii="Tw Cen MT" w:hAnsi="Tw Cen MT"/>
          <w:sz w:val="18"/>
          <w:szCs w:val="18"/>
          <w:lang w:val="en-US"/>
        </w:rPr>
        <w:t xml:space="preserve"> CN, et al. </w:t>
      </w:r>
      <w:r w:rsidRPr="00A4678C">
        <w:rPr>
          <w:rFonts w:ascii="Tw Cen MT" w:hAnsi="Tw Cen MT"/>
          <w:sz w:val="18"/>
          <w:szCs w:val="18"/>
          <w:lang w:val="en-US"/>
        </w:rPr>
        <w:t>(2016) Neutrophil proteolytic activation cascades: a possible mechanistic link between chronic periodontitis and coronary heart disease. Innate Immun. Jan;22(1):85-99.</w:t>
      </w:r>
    </w:p>
    <w:p w:rsidR="00A4678C" w:rsidRDefault="00A4678C" w:rsidP="00A4678C">
      <w:pPr>
        <w:jc w:val="both"/>
        <w:rPr>
          <w:rFonts w:ascii="Times New Roman" w:hAnsi="Times New Roman"/>
          <w:lang w:val="en-US"/>
        </w:rPr>
        <w:sectPr w:rsidR="00A4678C" w:rsidSect="00A4678C">
          <w:pgSz w:w="11900" w:h="16840"/>
          <w:pgMar w:top="1417" w:right="1134" w:bottom="1417" w:left="1134" w:header="708" w:footer="708" w:gutter="0"/>
          <w:cols w:num="2" w:space="708"/>
          <w:docGrid w:linePitch="360"/>
        </w:sectPr>
      </w:pPr>
    </w:p>
    <w:p w:rsidR="00A4678C" w:rsidRPr="00AC145B" w:rsidRDefault="00A4678C" w:rsidP="00A4678C">
      <w:pPr>
        <w:ind w:right="3969"/>
        <w:rPr>
          <w:rFonts w:ascii="Tw Cen MT" w:hAnsi="Tw Cen MT"/>
          <w:color w:val="000000" w:themeColor="text1"/>
          <w:sz w:val="22"/>
          <w:szCs w:val="22"/>
          <w:lang w:val="en-US"/>
        </w:rPr>
      </w:pPr>
      <w:r w:rsidRPr="00AC145B">
        <w:rPr>
          <w:rFonts w:ascii="Tw Cen MT" w:hAnsi="Tw Cen MT" w:cs="Arial"/>
          <w:b/>
          <w:bCs/>
          <w:color w:val="000000" w:themeColor="text1"/>
          <w:sz w:val="22"/>
          <w:szCs w:val="22"/>
          <w:lang w:val="en-US"/>
        </w:rPr>
        <w:t>Keywords:</w:t>
      </w:r>
      <w:r w:rsidRPr="00AC145B">
        <w:rPr>
          <w:rFonts w:ascii="Tw Cen MT" w:hAnsi="Tw Cen MT" w:cs="Arial"/>
          <w:color w:val="000000" w:themeColor="text1"/>
          <w:sz w:val="22"/>
          <w:szCs w:val="22"/>
          <w:shd w:val="clear" w:color="auto" w:fill="FFFFFF"/>
          <w:lang w:val="en-US"/>
        </w:rPr>
        <w:t> Chief complaints, general awareness periodontist, Libya, motivation factors, periodontal care, periodontitis</w:t>
      </w:r>
    </w:p>
    <w:p w:rsidR="00A4678C" w:rsidRDefault="00A4678C" w:rsidP="00A4678C">
      <w:pPr>
        <w:autoSpaceDE w:val="0"/>
        <w:autoSpaceDN w:val="0"/>
        <w:adjustRightInd w:val="0"/>
        <w:ind w:right="2438"/>
        <w:jc w:val="both"/>
        <w:rPr>
          <w:rFonts w:ascii="Tw Cen MT" w:hAnsi="Tw Cen MT"/>
          <w:color w:val="000000"/>
          <w:sz w:val="18"/>
          <w:szCs w:val="18"/>
          <w:lang w:val="en-US"/>
        </w:rPr>
      </w:pPr>
    </w:p>
    <w:p w:rsidR="00A4678C" w:rsidRPr="00AC145B" w:rsidRDefault="00A4678C" w:rsidP="00A4678C">
      <w:pPr>
        <w:autoSpaceDE w:val="0"/>
        <w:autoSpaceDN w:val="0"/>
        <w:adjustRightInd w:val="0"/>
        <w:ind w:right="2438"/>
        <w:jc w:val="both"/>
        <w:rPr>
          <w:rFonts w:ascii="Tw Cen MT" w:hAnsi="Tw Cen MT"/>
          <w:color w:val="000000"/>
          <w:sz w:val="22"/>
          <w:szCs w:val="22"/>
          <w:lang w:val="en-US"/>
        </w:rPr>
      </w:pPr>
      <w:r w:rsidRPr="00AC145B">
        <w:rPr>
          <w:rFonts w:ascii="Tw Cen MT" w:hAnsi="Tw Cen MT"/>
          <w:b/>
          <w:sz w:val="22"/>
          <w:szCs w:val="22"/>
          <w:lang w:val="en-NZ"/>
        </w:rPr>
        <w:t>Presenting author details</w:t>
      </w:r>
    </w:p>
    <w:p w:rsidR="00A4678C" w:rsidRPr="00AC145B" w:rsidRDefault="00A4678C" w:rsidP="00A4678C">
      <w:pPr>
        <w:rPr>
          <w:rFonts w:ascii="Tw Cen MT" w:hAnsi="Tw Cen MT"/>
          <w:bCs/>
          <w:color w:val="000000" w:themeColor="text1"/>
          <w:sz w:val="22"/>
          <w:szCs w:val="22"/>
          <w:lang w:val="en-US"/>
        </w:rPr>
      </w:pPr>
      <w:r w:rsidRPr="00AC145B">
        <w:rPr>
          <w:rFonts w:ascii="Tw Cen MT" w:hAnsi="Tw Cen MT"/>
          <w:b/>
          <w:color w:val="000000" w:themeColor="text1"/>
          <w:szCs w:val="22"/>
          <w:lang w:val="en-US"/>
        </w:rPr>
        <w:t>Full Name</w:t>
      </w:r>
      <w:r w:rsidRPr="00AC145B">
        <w:rPr>
          <w:rFonts w:ascii="Tw Cen MT" w:hAnsi="Tw Cen MT"/>
          <w:b/>
          <w:color w:val="000000" w:themeColor="text1"/>
          <w:sz w:val="22"/>
          <w:szCs w:val="22"/>
          <w:lang w:val="en-US"/>
        </w:rPr>
        <w:t>:</w:t>
      </w:r>
      <w:r>
        <w:rPr>
          <w:rFonts w:ascii="Tw Cen MT" w:hAnsi="Tw Cen MT"/>
          <w:b/>
          <w:color w:val="000000" w:themeColor="text1"/>
          <w:szCs w:val="22"/>
          <w:lang w:val="en-US"/>
        </w:rPr>
        <w:t xml:space="preserve"> </w:t>
      </w:r>
      <w:r w:rsidRPr="00AC145B">
        <w:rPr>
          <w:rFonts w:ascii="Tw Cen MT" w:hAnsi="Tw Cen MT"/>
          <w:bCs/>
          <w:color w:val="000000" w:themeColor="text1"/>
          <w:sz w:val="22"/>
          <w:szCs w:val="22"/>
          <w:lang w:val="en-US"/>
        </w:rPr>
        <w:t xml:space="preserve">Hatem </w:t>
      </w:r>
      <w:proofErr w:type="spellStart"/>
      <w:r w:rsidRPr="00AC145B">
        <w:rPr>
          <w:rFonts w:ascii="Tw Cen MT" w:hAnsi="Tw Cen MT"/>
          <w:bCs/>
          <w:color w:val="000000" w:themeColor="text1"/>
          <w:sz w:val="22"/>
          <w:szCs w:val="22"/>
          <w:lang w:val="en-US"/>
        </w:rPr>
        <w:t>Gheeth</w:t>
      </w:r>
      <w:proofErr w:type="spellEnd"/>
      <w:r w:rsidRPr="00AC145B">
        <w:rPr>
          <w:rFonts w:ascii="Tw Cen MT" w:hAnsi="Tw Cen MT"/>
          <w:b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C145B">
        <w:rPr>
          <w:rFonts w:ascii="Tw Cen MT" w:hAnsi="Tw Cen MT"/>
          <w:bCs/>
          <w:color w:val="000000" w:themeColor="text1"/>
          <w:sz w:val="22"/>
          <w:szCs w:val="22"/>
          <w:lang w:val="en-US"/>
        </w:rPr>
        <w:t>Alfakry</w:t>
      </w:r>
      <w:proofErr w:type="spellEnd"/>
    </w:p>
    <w:p w:rsidR="00A4678C" w:rsidRPr="00AC145B" w:rsidRDefault="00A4678C" w:rsidP="00A4678C">
      <w:pPr>
        <w:rPr>
          <w:rFonts w:ascii="Tw Cen MT" w:hAnsi="Tw Cen MT"/>
          <w:bCs/>
          <w:color w:val="000000" w:themeColor="text1"/>
          <w:sz w:val="22"/>
          <w:szCs w:val="22"/>
          <w:lang w:val="en-US"/>
        </w:rPr>
      </w:pPr>
      <w:r w:rsidRPr="00AC145B">
        <w:rPr>
          <w:rFonts w:ascii="Tw Cen MT" w:hAnsi="Tw Cen MT"/>
          <w:b/>
          <w:color w:val="000000" w:themeColor="text1"/>
          <w:szCs w:val="22"/>
          <w:lang w:val="en-US"/>
        </w:rPr>
        <w:t>University Name</w:t>
      </w:r>
      <w:r w:rsidRPr="00AC145B">
        <w:rPr>
          <w:rFonts w:ascii="Tw Cen MT" w:hAnsi="Tw Cen MT"/>
          <w:b/>
          <w:color w:val="000000" w:themeColor="text1"/>
          <w:sz w:val="22"/>
          <w:szCs w:val="22"/>
          <w:lang w:val="en-US"/>
        </w:rPr>
        <w:t>:</w:t>
      </w:r>
      <w:r>
        <w:rPr>
          <w:rFonts w:ascii="Tw Cen MT" w:hAnsi="Tw Cen MT"/>
          <w:b/>
          <w:color w:val="000000" w:themeColor="text1"/>
          <w:szCs w:val="22"/>
          <w:lang w:val="en-US"/>
        </w:rPr>
        <w:t xml:space="preserve"> </w:t>
      </w:r>
      <w:r w:rsidRPr="00AC145B">
        <w:rPr>
          <w:rFonts w:ascii="Tw Cen MT" w:hAnsi="Tw Cen MT"/>
          <w:bCs/>
          <w:color w:val="000000" w:themeColor="text1"/>
          <w:sz w:val="22"/>
          <w:szCs w:val="22"/>
          <w:lang w:val="en-US"/>
        </w:rPr>
        <w:t>Department of Periodontal, University of Helsinki, Helsinki</w:t>
      </w:r>
    </w:p>
    <w:p w:rsidR="00A4678C" w:rsidRPr="00AC145B" w:rsidRDefault="00A4678C" w:rsidP="00A4678C">
      <w:pPr>
        <w:rPr>
          <w:rFonts w:ascii="Tw Cen MT" w:hAnsi="Tw Cen MT"/>
          <w:b/>
          <w:color w:val="000000" w:themeColor="text1"/>
          <w:sz w:val="22"/>
          <w:szCs w:val="22"/>
          <w:lang w:val="en-US"/>
        </w:rPr>
      </w:pPr>
      <w:r w:rsidRPr="00AC145B">
        <w:rPr>
          <w:rFonts w:ascii="Tw Cen MT" w:hAnsi="Tw Cen MT"/>
          <w:b/>
          <w:color w:val="000000" w:themeColor="text1"/>
          <w:szCs w:val="22"/>
          <w:lang w:val="en-US"/>
        </w:rPr>
        <w:t>Designation</w:t>
      </w:r>
      <w:r w:rsidRPr="00AC145B">
        <w:rPr>
          <w:rFonts w:ascii="Tw Cen MT" w:hAnsi="Tw Cen MT"/>
          <w:b/>
          <w:color w:val="000000" w:themeColor="text1"/>
          <w:sz w:val="22"/>
          <w:szCs w:val="22"/>
          <w:lang w:val="en-US"/>
        </w:rPr>
        <w:t>:</w:t>
      </w:r>
      <w:r>
        <w:rPr>
          <w:rFonts w:ascii="Tw Cen MT" w:hAnsi="Tw Cen MT"/>
          <w:b/>
          <w:color w:val="000000" w:themeColor="text1"/>
          <w:szCs w:val="22"/>
          <w:lang w:val="en-US"/>
        </w:rPr>
        <w:t xml:space="preserve"> </w:t>
      </w:r>
      <w:proofErr w:type="spellStart"/>
      <w:r w:rsidRPr="00AC145B">
        <w:rPr>
          <w:rFonts w:ascii="Tw Cen MT" w:hAnsi="Tw Cen MT"/>
          <w:bCs/>
          <w:color w:val="000000" w:themeColor="text1"/>
          <w:sz w:val="22"/>
          <w:szCs w:val="22"/>
          <w:lang w:val="en-US"/>
        </w:rPr>
        <w:t>Post doctoral</w:t>
      </w:r>
      <w:proofErr w:type="spellEnd"/>
      <w:r w:rsidRPr="00AC145B">
        <w:rPr>
          <w:rFonts w:ascii="Tw Cen MT" w:hAnsi="Tw Cen MT"/>
          <w:bCs/>
          <w:color w:val="000000" w:themeColor="text1"/>
          <w:sz w:val="22"/>
          <w:szCs w:val="22"/>
          <w:lang w:val="en-US"/>
        </w:rPr>
        <w:t xml:space="preserve"> researcher</w:t>
      </w:r>
    </w:p>
    <w:p w:rsidR="00A4678C" w:rsidRPr="00AC145B" w:rsidRDefault="00A4678C" w:rsidP="00A4678C">
      <w:pPr>
        <w:rPr>
          <w:rFonts w:ascii="Tw Cen MT" w:hAnsi="Tw Cen MT"/>
          <w:b/>
          <w:color w:val="000000" w:themeColor="text1"/>
          <w:sz w:val="22"/>
          <w:szCs w:val="22"/>
          <w:lang w:val="en-US"/>
        </w:rPr>
      </w:pPr>
      <w:r w:rsidRPr="00AC145B">
        <w:rPr>
          <w:rFonts w:ascii="Tw Cen MT" w:hAnsi="Tw Cen MT"/>
          <w:b/>
          <w:color w:val="000000" w:themeColor="text1"/>
          <w:sz w:val="22"/>
          <w:szCs w:val="22"/>
          <w:lang w:val="en-US"/>
        </w:rPr>
        <w:t xml:space="preserve">Country: </w:t>
      </w:r>
      <w:r w:rsidRPr="00AC145B">
        <w:rPr>
          <w:rFonts w:ascii="Tw Cen MT" w:hAnsi="Tw Cen MT"/>
          <w:bCs/>
          <w:color w:val="000000" w:themeColor="text1"/>
          <w:sz w:val="22"/>
          <w:szCs w:val="22"/>
          <w:lang w:val="en-US"/>
        </w:rPr>
        <w:t>Finland</w:t>
      </w:r>
    </w:p>
    <w:p w:rsidR="00A4678C" w:rsidRPr="00AC145B" w:rsidRDefault="00A4678C" w:rsidP="00A4678C">
      <w:pPr>
        <w:rPr>
          <w:rFonts w:ascii="Tw Cen MT" w:hAnsi="Tw Cen MT"/>
          <w:b/>
          <w:color w:val="000000" w:themeColor="text1"/>
          <w:sz w:val="22"/>
          <w:szCs w:val="22"/>
          <w:lang w:val="en-US"/>
        </w:rPr>
      </w:pPr>
      <w:r w:rsidRPr="00AC145B">
        <w:rPr>
          <w:rFonts w:ascii="Tw Cen MT" w:hAnsi="Tw Cen MT"/>
          <w:b/>
          <w:color w:val="000000" w:themeColor="text1"/>
          <w:sz w:val="22"/>
          <w:szCs w:val="22"/>
          <w:lang w:val="en-US"/>
        </w:rPr>
        <w:t>Mobile number (</w:t>
      </w:r>
      <w:r w:rsidRPr="00AC145B">
        <w:rPr>
          <w:rFonts w:ascii="Tw Cen MT" w:hAnsi="Tw Cen MT"/>
          <w:bCs/>
          <w:color w:val="000000" w:themeColor="text1"/>
          <w:sz w:val="22"/>
          <w:szCs w:val="22"/>
          <w:lang w:val="en-US"/>
        </w:rPr>
        <w:t>00358452351789</w:t>
      </w:r>
      <w:r w:rsidRPr="00AC145B">
        <w:rPr>
          <w:rFonts w:ascii="Tw Cen MT" w:hAnsi="Tw Cen MT"/>
          <w:b/>
          <w:bCs/>
          <w:color w:val="000000" w:themeColor="text1"/>
          <w:sz w:val="22"/>
          <w:szCs w:val="22"/>
          <w:lang w:val="en-US"/>
        </w:rPr>
        <w:t>):</w:t>
      </w:r>
    </w:p>
    <w:p w:rsidR="00A4678C" w:rsidRPr="00AC145B" w:rsidRDefault="00A4678C" w:rsidP="00A4678C">
      <w:pPr>
        <w:rPr>
          <w:rFonts w:ascii="Tw Cen MT" w:hAnsi="Tw Cen MT"/>
          <w:b/>
          <w:color w:val="000000" w:themeColor="text1"/>
          <w:sz w:val="22"/>
          <w:szCs w:val="22"/>
          <w:lang w:val="en-US"/>
        </w:rPr>
      </w:pPr>
      <w:r w:rsidRPr="00AC145B">
        <w:rPr>
          <w:rFonts w:ascii="Tw Cen MT" w:hAnsi="Tw Cen MT"/>
          <w:b/>
          <w:color w:val="000000" w:themeColor="text1"/>
          <w:sz w:val="22"/>
          <w:szCs w:val="22"/>
          <w:lang w:val="en-US"/>
        </w:rPr>
        <w:t xml:space="preserve">Email: </w:t>
      </w:r>
      <w:r w:rsidRPr="00AC145B">
        <w:rPr>
          <w:rFonts w:ascii="Tw Cen MT" w:hAnsi="Tw Cen MT"/>
          <w:bCs/>
          <w:color w:val="000000" w:themeColor="text1"/>
          <w:sz w:val="22"/>
          <w:szCs w:val="22"/>
          <w:lang w:val="en-US"/>
        </w:rPr>
        <w:t>hatem.g.alfakry@gmail.com</w:t>
      </w:r>
    </w:p>
    <w:p w:rsidR="00A4678C" w:rsidRPr="00AC145B" w:rsidRDefault="00A4678C" w:rsidP="00A4678C">
      <w:pPr>
        <w:rPr>
          <w:rFonts w:ascii="Tw Cen MT" w:hAnsi="Tw Cen MT"/>
          <w:b/>
          <w:color w:val="000000" w:themeColor="text1"/>
          <w:sz w:val="22"/>
          <w:szCs w:val="22"/>
          <w:lang w:val="en-US"/>
        </w:rPr>
      </w:pPr>
      <w:r w:rsidRPr="00AC145B">
        <w:rPr>
          <w:rFonts w:ascii="Tw Cen MT" w:hAnsi="Tw Cen MT"/>
          <w:b/>
          <w:color w:val="000000" w:themeColor="text1"/>
          <w:sz w:val="22"/>
          <w:szCs w:val="22"/>
          <w:lang w:val="en-US"/>
        </w:rPr>
        <w:t xml:space="preserve">Track number: </w:t>
      </w:r>
      <w:r w:rsidRPr="00AC145B">
        <w:rPr>
          <w:rFonts w:ascii="Tw Cen MT" w:hAnsi="Tw Cen MT"/>
          <w:color w:val="000000" w:themeColor="text1"/>
          <w:sz w:val="22"/>
          <w:szCs w:val="22"/>
          <w:lang w:val="en-US"/>
        </w:rPr>
        <w:t>7</w:t>
      </w:r>
      <w:r w:rsidRPr="00AC145B">
        <w:rPr>
          <w:rFonts w:ascii="Tw Cen MT" w:hAnsi="Tw Cen MT"/>
          <w:b/>
          <w:color w:val="000000" w:themeColor="text1"/>
          <w:sz w:val="22"/>
          <w:szCs w:val="22"/>
          <w:lang w:val="en-US"/>
        </w:rPr>
        <w:br/>
      </w:r>
      <w:r>
        <w:rPr>
          <w:rFonts w:ascii="Tw Cen MT" w:hAnsi="Tw Cen MT"/>
          <w:b/>
          <w:color w:val="000000" w:themeColor="text1"/>
          <w:szCs w:val="22"/>
          <w:lang w:val="en-NZ"/>
        </w:rPr>
        <w:t>Category</w:t>
      </w:r>
      <w:r w:rsidRPr="00AC145B">
        <w:rPr>
          <w:rFonts w:ascii="Tw Cen MT" w:hAnsi="Tw Cen MT"/>
          <w:b/>
          <w:color w:val="000000" w:themeColor="text1"/>
          <w:sz w:val="22"/>
          <w:szCs w:val="22"/>
          <w:lang w:val="en-NZ"/>
        </w:rPr>
        <w:t>:</w:t>
      </w:r>
      <w:r>
        <w:rPr>
          <w:rFonts w:ascii="Tw Cen MT" w:hAnsi="Tw Cen MT"/>
          <w:b/>
          <w:color w:val="000000" w:themeColor="text1"/>
          <w:szCs w:val="22"/>
          <w:lang w:val="en-NZ"/>
        </w:rPr>
        <w:t xml:space="preserve"> </w:t>
      </w:r>
      <w:r w:rsidRPr="00AC145B">
        <w:rPr>
          <w:rFonts w:ascii="Tw Cen MT" w:hAnsi="Tw Cen MT"/>
          <w:bCs/>
          <w:color w:val="000000" w:themeColor="text1"/>
          <w:sz w:val="22"/>
          <w:szCs w:val="22"/>
          <w:lang w:val="en-NZ"/>
        </w:rPr>
        <w:t>E-poster</w:t>
      </w:r>
    </w:p>
    <w:p w:rsidR="008101BD" w:rsidRPr="00A4678C" w:rsidRDefault="00A4678C" w:rsidP="00A4678C">
      <w:pPr>
        <w:rPr>
          <w:lang w:val="en-US"/>
        </w:rPr>
      </w:pPr>
      <w:r w:rsidRPr="00AC145B">
        <w:rPr>
          <w:rFonts w:ascii="Tw Cen MT" w:hAnsi="Tw Cen MT"/>
          <w:b/>
          <w:color w:val="000000" w:themeColor="text1"/>
          <w:sz w:val="22"/>
          <w:szCs w:val="22"/>
          <w:lang w:val="en-US"/>
        </w:rPr>
        <w:t>Research interest:</w:t>
      </w:r>
      <w:r w:rsidRPr="00AC145B">
        <w:rPr>
          <w:rFonts w:ascii="Tw Cen MT" w:hAnsi="Tw Cen MT"/>
          <w:b/>
          <w:color w:val="000000" w:themeColor="text1"/>
          <w:szCs w:val="22"/>
          <w:lang w:val="en-US"/>
        </w:rPr>
        <w:t xml:space="preserve"> </w:t>
      </w:r>
      <w:r w:rsidRPr="00AC145B">
        <w:rPr>
          <w:rFonts w:ascii="Tw Cen MT" w:hAnsi="Tw Cen MT"/>
          <w:bCs/>
          <w:color w:val="000000" w:themeColor="text1"/>
          <w:szCs w:val="22"/>
          <w:lang w:val="en-US"/>
        </w:rPr>
        <w:t>Periodontology, Immunology, Bacteriology</w:t>
      </w:r>
    </w:p>
    <w:sectPr w:rsidR="008101BD" w:rsidRPr="00A4678C" w:rsidSect="00A4678C">
      <w:type w:val="continuous"/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56C9" w:rsidRDefault="00D156C9" w:rsidP="00A4678C">
      <w:r>
        <w:separator/>
      </w:r>
    </w:p>
  </w:endnote>
  <w:endnote w:type="continuationSeparator" w:id="0">
    <w:p w:rsidR="00D156C9" w:rsidRDefault="00D156C9" w:rsidP="00A46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56C9" w:rsidRDefault="00D156C9" w:rsidP="00A4678C">
      <w:r>
        <w:separator/>
      </w:r>
    </w:p>
  </w:footnote>
  <w:footnote w:type="continuationSeparator" w:id="0">
    <w:p w:rsidR="00D156C9" w:rsidRDefault="00D156C9" w:rsidP="00A46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8D4033"/>
    <w:multiLevelType w:val="hybridMultilevel"/>
    <w:tmpl w:val="74B02690"/>
    <w:lvl w:ilvl="0" w:tplc="948426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78C"/>
    <w:rsid w:val="00190BB5"/>
    <w:rsid w:val="00282D6A"/>
    <w:rsid w:val="006D3885"/>
    <w:rsid w:val="008101BD"/>
    <w:rsid w:val="00A4678C"/>
    <w:rsid w:val="00AB2365"/>
    <w:rsid w:val="00D156C9"/>
    <w:rsid w:val="00EF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AD77542"/>
  <w15:chartTrackingRefBased/>
  <w15:docId w15:val="{BD900768-EF5F-AE4D-BBF6-979E72F2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4678C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A4678C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78C"/>
  </w:style>
  <w:style w:type="paragraph" w:styleId="Footer">
    <w:name w:val="footer"/>
    <w:basedOn w:val="Normal"/>
    <w:link w:val="FooterChar"/>
    <w:uiPriority w:val="99"/>
    <w:unhideWhenUsed/>
    <w:rsid w:val="00A4678C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Alfakry, Hatem G M</dc:creator>
  <cp:keywords/>
  <dc:description/>
  <cp:lastModifiedBy>Alfakry, Hatem G M</cp:lastModifiedBy>
  <cp:revision>4</cp:revision>
  <dcterms:created xsi:type="dcterms:W3CDTF">2019-06-26T08:33:00Z</dcterms:created>
  <dcterms:modified xsi:type="dcterms:W3CDTF">2019-06-29T16:14:00Z</dcterms:modified>
</cp:coreProperties>
</file>