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3CE" w:rsidRDefault="00F063CE" w:rsidP="00F063CE">
      <w:pPr>
        <w:spacing w:line="360" w:lineRule="auto"/>
        <w:rPr>
          <w:rFonts w:ascii="Times New Roman" w:hAnsi="Times New Roman" w:cs="Times New Roman"/>
          <w:b/>
          <w:sz w:val="20"/>
          <w:szCs w:val="20"/>
        </w:rPr>
      </w:pPr>
      <w:r>
        <w:rPr>
          <w:rFonts w:ascii="Times New Roman" w:hAnsi="Times New Roman" w:cs="Times New Roman"/>
          <w:b/>
          <w:sz w:val="20"/>
          <w:szCs w:val="20"/>
        </w:rPr>
        <w:t>ABSTRACT</w:t>
      </w:r>
    </w:p>
    <w:p w:rsidR="00F063CE" w:rsidRDefault="00F063CE" w:rsidP="00F063CE">
      <w:pPr>
        <w:spacing w:line="360" w:lineRule="auto"/>
        <w:contextualSpacing/>
        <w:jc w:val="both"/>
        <w:rPr>
          <w:rFonts w:ascii="Times New Roman" w:hAnsi="Times New Roman" w:cs="Times New Roman"/>
          <w:bCs/>
          <w:color w:val="000000"/>
          <w:sz w:val="20"/>
          <w:szCs w:val="20"/>
        </w:rPr>
      </w:pPr>
      <w:proofErr w:type="spellStart"/>
      <w:proofErr w:type="gramStart"/>
      <w:r w:rsidRPr="00D725E7">
        <w:rPr>
          <w:rFonts w:ascii="Times New Roman" w:hAnsi="Times New Roman" w:cs="Times New Roman"/>
          <w:b/>
          <w:color w:val="000000"/>
          <w:sz w:val="20"/>
          <w:szCs w:val="20"/>
        </w:rPr>
        <w:t>Objectives</w:t>
      </w:r>
      <w:r w:rsidRPr="00D725E7">
        <w:rPr>
          <w:rFonts w:ascii="Times New Roman" w:hAnsi="Times New Roman" w:cs="Times New Roman"/>
          <w:bCs/>
          <w:color w:val="000000"/>
          <w:sz w:val="20"/>
          <w:szCs w:val="20"/>
        </w:rPr>
        <w:t>:The</w:t>
      </w:r>
      <w:proofErr w:type="spellEnd"/>
      <w:proofErr w:type="gramEnd"/>
      <w:r w:rsidRPr="00D725E7">
        <w:rPr>
          <w:rFonts w:ascii="Times New Roman" w:hAnsi="Times New Roman" w:cs="Times New Roman"/>
          <w:bCs/>
          <w:color w:val="000000"/>
          <w:sz w:val="20"/>
          <w:szCs w:val="20"/>
        </w:rPr>
        <w:t xml:space="preserve"> aim of this </w:t>
      </w:r>
      <w:r w:rsidRPr="00D725E7">
        <w:rPr>
          <w:rFonts w:ascii="Times New Roman" w:hAnsi="Times New Roman" w:cs="Times New Roman"/>
          <w:bCs/>
          <w:i/>
          <w:color w:val="000000"/>
          <w:sz w:val="20"/>
          <w:szCs w:val="20"/>
        </w:rPr>
        <w:t>in vivo</w:t>
      </w:r>
      <w:r w:rsidRPr="00D725E7">
        <w:rPr>
          <w:rFonts w:ascii="Times New Roman" w:hAnsi="Times New Roman" w:cs="Times New Roman"/>
          <w:bCs/>
          <w:color w:val="000000"/>
          <w:sz w:val="20"/>
          <w:szCs w:val="20"/>
        </w:rPr>
        <w:t xml:space="preserve"> study was to evaluate the clinical 1 year follow-up of silica and </w:t>
      </w:r>
      <w:proofErr w:type="spellStart"/>
      <w:r w:rsidRPr="00D725E7">
        <w:rPr>
          <w:rFonts w:ascii="Times New Roman" w:hAnsi="Times New Roman" w:cs="Times New Roman"/>
          <w:bCs/>
          <w:color w:val="000000"/>
          <w:sz w:val="20"/>
          <w:szCs w:val="20"/>
        </w:rPr>
        <w:t>flouroapatite</w:t>
      </w:r>
      <w:proofErr w:type="spellEnd"/>
      <w:r w:rsidRPr="00D725E7">
        <w:rPr>
          <w:rFonts w:ascii="Times New Roman" w:hAnsi="Times New Roman" w:cs="Times New Roman"/>
          <w:bCs/>
          <w:color w:val="000000"/>
          <w:sz w:val="20"/>
          <w:szCs w:val="20"/>
        </w:rPr>
        <w:t xml:space="preserve"> reinforced glass carbomer filling material.</w:t>
      </w:r>
    </w:p>
    <w:p w:rsidR="00F063CE" w:rsidRDefault="00F063CE" w:rsidP="00F063CE">
      <w:pPr>
        <w:spacing w:line="360" w:lineRule="auto"/>
        <w:contextualSpacing/>
        <w:jc w:val="both"/>
        <w:rPr>
          <w:rFonts w:ascii="Times New Roman" w:hAnsi="Times New Roman" w:cs="Times New Roman"/>
          <w:bCs/>
          <w:color w:val="000000"/>
          <w:sz w:val="20"/>
          <w:szCs w:val="20"/>
        </w:rPr>
      </w:pPr>
      <w:r w:rsidRPr="00D725E7">
        <w:rPr>
          <w:rFonts w:ascii="Times New Roman" w:hAnsi="Times New Roman" w:cs="Times New Roman"/>
          <w:b/>
          <w:color w:val="000000"/>
          <w:sz w:val="20"/>
          <w:szCs w:val="20"/>
        </w:rPr>
        <w:t>Materials</w:t>
      </w:r>
      <w:r w:rsidR="00F9284C">
        <w:rPr>
          <w:rFonts w:ascii="Times New Roman" w:hAnsi="Times New Roman" w:cs="Times New Roman"/>
          <w:b/>
          <w:color w:val="000000"/>
          <w:sz w:val="20"/>
          <w:szCs w:val="20"/>
        </w:rPr>
        <w:t xml:space="preserve"> </w:t>
      </w:r>
      <w:r w:rsidRPr="00D725E7">
        <w:rPr>
          <w:rFonts w:ascii="Times New Roman" w:hAnsi="Times New Roman" w:cs="Times New Roman"/>
          <w:b/>
          <w:color w:val="000000"/>
          <w:sz w:val="20"/>
          <w:szCs w:val="20"/>
        </w:rPr>
        <w:t>and</w:t>
      </w:r>
      <w:r w:rsidR="00F9284C">
        <w:rPr>
          <w:rFonts w:ascii="Times New Roman" w:hAnsi="Times New Roman" w:cs="Times New Roman"/>
          <w:b/>
          <w:color w:val="000000"/>
          <w:sz w:val="20"/>
          <w:szCs w:val="20"/>
        </w:rPr>
        <w:t xml:space="preserve"> </w:t>
      </w:r>
      <w:proofErr w:type="spellStart"/>
      <w:r w:rsidRPr="00D725E7">
        <w:rPr>
          <w:rFonts w:ascii="Times New Roman" w:hAnsi="Times New Roman" w:cs="Times New Roman"/>
          <w:b/>
          <w:color w:val="000000"/>
          <w:sz w:val="20"/>
          <w:szCs w:val="20"/>
        </w:rPr>
        <w:t>Methods</w:t>
      </w:r>
      <w:r w:rsidRPr="00D725E7">
        <w:rPr>
          <w:rFonts w:ascii="Times New Roman" w:hAnsi="Times New Roman" w:cs="Times New Roman"/>
          <w:bCs/>
          <w:color w:val="000000"/>
          <w:sz w:val="20"/>
          <w:szCs w:val="20"/>
        </w:rPr>
        <w:t>:In</w:t>
      </w:r>
      <w:proofErr w:type="spellEnd"/>
      <w:r w:rsidRPr="00D725E7">
        <w:rPr>
          <w:rFonts w:ascii="Times New Roman" w:hAnsi="Times New Roman" w:cs="Times New Roman"/>
          <w:bCs/>
          <w:color w:val="000000"/>
          <w:sz w:val="20"/>
          <w:szCs w:val="20"/>
        </w:rPr>
        <w:t xml:space="preserve"> this study, total of 100 restorations were </w:t>
      </w:r>
      <w:proofErr w:type="spellStart"/>
      <w:r w:rsidRPr="00D725E7">
        <w:rPr>
          <w:rFonts w:ascii="Times New Roman" w:hAnsi="Times New Roman" w:cs="Times New Roman"/>
          <w:bCs/>
          <w:color w:val="000000"/>
          <w:sz w:val="20"/>
          <w:szCs w:val="20"/>
        </w:rPr>
        <w:t>performed.All</w:t>
      </w:r>
      <w:proofErr w:type="spellEnd"/>
      <w:r w:rsidRPr="00D725E7">
        <w:rPr>
          <w:rFonts w:ascii="Times New Roman" w:hAnsi="Times New Roman" w:cs="Times New Roman"/>
          <w:bCs/>
          <w:color w:val="000000"/>
          <w:sz w:val="20"/>
          <w:szCs w:val="20"/>
        </w:rPr>
        <w:t xml:space="preserve"> cavities were prepared </w:t>
      </w:r>
      <w:proofErr w:type="spellStart"/>
      <w:r w:rsidRPr="00D725E7">
        <w:rPr>
          <w:rFonts w:ascii="Times New Roman" w:hAnsi="Times New Roman" w:cs="Times New Roman"/>
          <w:bCs/>
          <w:color w:val="000000"/>
          <w:sz w:val="20"/>
          <w:szCs w:val="20"/>
        </w:rPr>
        <w:t>conventionally.Half</w:t>
      </w:r>
      <w:proofErr w:type="spellEnd"/>
      <w:r w:rsidRPr="00D725E7">
        <w:rPr>
          <w:rFonts w:ascii="Times New Roman" w:hAnsi="Times New Roman" w:cs="Times New Roman"/>
          <w:bCs/>
          <w:color w:val="000000"/>
          <w:sz w:val="20"/>
          <w:szCs w:val="20"/>
        </w:rPr>
        <w:t xml:space="preserve"> of the restorations were restored with </w:t>
      </w:r>
      <w:proofErr w:type="spellStart"/>
      <w:r w:rsidRPr="00D725E7">
        <w:rPr>
          <w:rFonts w:ascii="Times New Roman" w:hAnsi="Times New Roman" w:cs="Times New Roman"/>
          <w:bCs/>
          <w:color w:val="000000"/>
          <w:sz w:val="20"/>
          <w:szCs w:val="20"/>
        </w:rPr>
        <w:t>nano</w:t>
      </w:r>
      <w:proofErr w:type="spellEnd"/>
      <w:r w:rsidRPr="00D725E7">
        <w:rPr>
          <w:rFonts w:ascii="Times New Roman" w:hAnsi="Times New Roman" w:cs="Times New Roman"/>
          <w:bCs/>
          <w:color w:val="000000"/>
          <w:sz w:val="20"/>
          <w:szCs w:val="20"/>
        </w:rPr>
        <w:t xml:space="preserve"> composite resin (TEP) (Tokuyama </w:t>
      </w:r>
      <w:proofErr w:type="spellStart"/>
      <w:r w:rsidRPr="00D725E7">
        <w:rPr>
          <w:rFonts w:ascii="Times New Roman" w:hAnsi="Times New Roman" w:cs="Times New Roman"/>
          <w:bCs/>
          <w:color w:val="000000"/>
          <w:sz w:val="20"/>
          <w:szCs w:val="20"/>
        </w:rPr>
        <w:t>Estelite</w:t>
      </w:r>
      <w:proofErr w:type="spellEnd"/>
      <w:r w:rsidRPr="00D725E7">
        <w:rPr>
          <w:rFonts w:ascii="Times New Roman" w:hAnsi="Times New Roman" w:cs="Times New Roman"/>
          <w:bCs/>
          <w:color w:val="000000"/>
          <w:sz w:val="20"/>
          <w:szCs w:val="20"/>
        </w:rPr>
        <w:t xml:space="preserve">, Tokuyama Dental, Japan) and the other half were restored with glass carbomer material (GC) (GCP Dental, The Netherlands).Enamel edges were etched with selective etching </w:t>
      </w:r>
      <w:proofErr w:type="spellStart"/>
      <w:r w:rsidRPr="00D725E7">
        <w:rPr>
          <w:rFonts w:ascii="Times New Roman" w:hAnsi="Times New Roman" w:cs="Times New Roman"/>
          <w:bCs/>
          <w:color w:val="000000"/>
          <w:sz w:val="20"/>
          <w:szCs w:val="20"/>
        </w:rPr>
        <w:t>method.Then</w:t>
      </w:r>
      <w:proofErr w:type="spellEnd"/>
      <w:r w:rsidRPr="00D725E7">
        <w:rPr>
          <w:rFonts w:ascii="Times New Roman" w:hAnsi="Times New Roman" w:cs="Times New Roman"/>
          <w:bCs/>
          <w:color w:val="000000"/>
          <w:sz w:val="20"/>
          <w:szCs w:val="20"/>
        </w:rPr>
        <w:t xml:space="preserve"> universal adhesive system was </w:t>
      </w:r>
      <w:proofErr w:type="spellStart"/>
      <w:r w:rsidRPr="00D725E7">
        <w:rPr>
          <w:rFonts w:ascii="Times New Roman" w:hAnsi="Times New Roman" w:cs="Times New Roman"/>
          <w:bCs/>
          <w:color w:val="000000"/>
          <w:sz w:val="20"/>
          <w:szCs w:val="20"/>
        </w:rPr>
        <w:t>applied.While</w:t>
      </w:r>
      <w:proofErr w:type="spellEnd"/>
      <w:r w:rsidRPr="00D725E7">
        <w:rPr>
          <w:rFonts w:ascii="Times New Roman" w:hAnsi="Times New Roman" w:cs="Times New Roman"/>
          <w:bCs/>
          <w:color w:val="000000"/>
          <w:sz w:val="20"/>
          <w:szCs w:val="20"/>
        </w:rPr>
        <w:t xml:space="preserve"> TEP was applied </w:t>
      </w:r>
      <w:proofErr w:type="spellStart"/>
      <w:r w:rsidRPr="00D725E7">
        <w:rPr>
          <w:rFonts w:ascii="Times New Roman" w:hAnsi="Times New Roman" w:cs="Times New Roman"/>
          <w:bCs/>
          <w:color w:val="000000"/>
          <w:sz w:val="20"/>
          <w:szCs w:val="20"/>
        </w:rPr>
        <w:t>icrementally,GC</w:t>
      </w:r>
      <w:proofErr w:type="spellEnd"/>
      <w:r w:rsidRPr="00D725E7">
        <w:rPr>
          <w:rFonts w:ascii="Times New Roman" w:hAnsi="Times New Roman" w:cs="Times New Roman"/>
          <w:bCs/>
          <w:color w:val="000000"/>
          <w:sz w:val="20"/>
          <w:szCs w:val="20"/>
        </w:rPr>
        <w:t xml:space="preserve"> was placed with bulk technique by applying finger pressure with surface </w:t>
      </w:r>
      <w:proofErr w:type="spellStart"/>
      <w:r w:rsidRPr="00D725E7">
        <w:rPr>
          <w:rFonts w:ascii="Times New Roman" w:hAnsi="Times New Roman" w:cs="Times New Roman"/>
          <w:bCs/>
          <w:color w:val="000000"/>
          <w:sz w:val="20"/>
          <w:szCs w:val="20"/>
        </w:rPr>
        <w:t>covering.TEP</w:t>
      </w:r>
      <w:proofErr w:type="spellEnd"/>
      <w:r w:rsidRPr="00D725E7">
        <w:rPr>
          <w:rFonts w:ascii="Times New Roman" w:hAnsi="Times New Roman" w:cs="Times New Roman"/>
          <w:bCs/>
          <w:color w:val="000000"/>
          <w:sz w:val="20"/>
          <w:szCs w:val="20"/>
        </w:rPr>
        <w:t xml:space="preserve"> were polymerized with LED light curing </w:t>
      </w:r>
      <w:proofErr w:type="spellStart"/>
      <w:r w:rsidRPr="00D725E7">
        <w:rPr>
          <w:rFonts w:ascii="Times New Roman" w:hAnsi="Times New Roman" w:cs="Times New Roman"/>
          <w:bCs/>
          <w:color w:val="000000"/>
          <w:sz w:val="20"/>
          <w:szCs w:val="20"/>
        </w:rPr>
        <w:t>unit.GC</w:t>
      </w:r>
      <w:proofErr w:type="spellEnd"/>
      <w:r w:rsidRPr="00D725E7">
        <w:rPr>
          <w:rFonts w:ascii="Times New Roman" w:hAnsi="Times New Roman" w:cs="Times New Roman"/>
          <w:bCs/>
          <w:color w:val="000000"/>
          <w:sz w:val="20"/>
          <w:szCs w:val="20"/>
        </w:rPr>
        <w:t xml:space="preserve"> restorations were cured its own curing unit. Restorations were evaluated with modified USPHS criteria at the end of the first week, 6 months and 12 </w:t>
      </w:r>
      <w:proofErr w:type="spellStart"/>
      <w:r w:rsidRPr="00D725E7">
        <w:rPr>
          <w:rFonts w:ascii="Times New Roman" w:hAnsi="Times New Roman" w:cs="Times New Roman"/>
          <w:bCs/>
          <w:color w:val="000000"/>
          <w:sz w:val="20"/>
          <w:szCs w:val="20"/>
        </w:rPr>
        <w:t>months.Data</w:t>
      </w:r>
      <w:proofErr w:type="spellEnd"/>
      <w:r w:rsidRPr="00D725E7">
        <w:rPr>
          <w:rFonts w:ascii="Times New Roman" w:hAnsi="Times New Roman" w:cs="Times New Roman"/>
          <w:bCs/>
          <w:color w:val="000000"/>
          <w:sz w:val="20"/>
          <w:szCs w:val="20"/>
        </w:rPr>
        <w:t xml:space="preserve"> were </w:t>
      </w:r>
      <w:proofErr w:type="spellStart"/>
      <w:r w:rsidRPr="00D725E7">
        <w:rPr>
          <w:rFonts w:ascii="Times New Roman" w:hAnsi="Times New Roman" w:cs="Times New Roman"/>
          <w:bCs/>
          <w:color w:val="000000"/>
          <w:sz w:val="20"/>
          <w:szCs w:val="20"/>
        </w:rPr>
        <w:t>analyzed</w:t>
      </w:r>
      <w:proofErr w:type="spellEnd"/>
      <w:r w:rsidRPr="00D725E7">
        <w:rPr>
          <w:rFonts w:ascii="Times New Roman" w:hAnsi="Times New Roman" w:cs="Times New Roman"/>
          <w:bCs/>
          <w:color w:val="000000"/>
          <w:sz w:val="20"/>
          <w:szCs w:val="20"/>
        </w:rPr>
        <w:t xml:space="preserve"> using Fisher’s Exact Chi-Square test, Fisher Freeman Halton Test and Continuity (Yates) </w:t>
      </w:r>
      <w:proofErr w:type="spellStart"/>
      <w:r w:rsidRPr="00D725E7">
        <w:rPr>
          <w:rFonts w:ascii="Times New Roman" w:hAnsi="Times New Roman" w:cs="Times New Roman"/>
          <w:bCs/>
          <w:color w:val="000000"/>
          <w:sz w:val="20"/>
          <w:szCs w:val="20"/>
        </w:rPr>
        <w:t>Correction.Wilcoxon</w:t>
      </w:r>
      <w:proofErr w:type="spellEnd"/>
      <w:r w:rsidRPr="00D725E7">
        <w:rPr>
          <w:rFonts w:ascii="Times New Roman" w:hAnsi="Times New Roman" w:cs="Times New Roman"/>
          <w:bCs/>
          <w:color w:val="000000"/>
          <w:sz w:val="20"/>
          <w:szCs w:val="20"/>
        </w:rPr>
        <w:t xml:space="preserve"> sign test was used for intra-group comparisons of the </w:t>
      </w:r>
      <w:proofErr w:type="spellStart"/>
      <w:r w:rsidRPr="00D725E7">
        <w:rPr>
          <w:rFonts w:ascii="Times New Roman" w:hAnsi="Times New Roman" w:cs="Times New Roman"/>
          <w:bCs/>
          <w:color w:val="000000"/>
          <w:sz w:val="20"/>
          <w:szCs w:val="20"/>
        </w:rPr>
        <w:t>parameters.Statistically</w:t>
      </w:r>
      <w:proofErr w:type="spellEnd"/>
      <w:r w:rsidRPr="00D725E7">
        <w:rPr>
          <w:rFonts w:ascii="Times New Roman" w:hAnsi="Times New Roman" w:cs="Times New Roman"/>
          <w:bCs/>
          <w:color w:val="000000"/>
          <w:sz w:val="20"/>
          <w:szCs w:val="20"/>
        </w:rPr>
        <w:t xml:space="preserve"> significance was evaluated at p &lt;0.05.</w:t>
      </w:r>
    </w:p>
    <w:p w:rsidR="00F063CE" w:rsidRDefault="00F063CE" w:rsidP="00F063CE">
      <w:pPr>
        <w:spacing w:line="360" w:lineRule="auto"/>
        <w:contextualSpacing/>
        <w:jc w:val="both"/>
        <w:rPr>
          <w:rFonts w:ascii="Times New Roman" w:eastAsia="Calibri" w:hAnsi="Times New Roman" w:cs="Times New Roman"/>
          <w:color w:val="000000"/>
          <w:sz w:val="20"/>
          <w:szCs w:val="20"/>
        </w:rPr>
      </w:pPr>
      <w:proofErr w:type="spellStart"/>
      <w:proofErr w:type="gramStart"/>
      <w:r w:rsidRPr="00D725E7">
        <w:rPr>
          <w:rFonts w:ascii="Times New Roman" w:hAnsi="Times New Roman" w:cs="Times New Roman"/>
          <w:b/>
          <w:color w:val="000000"/>
          <w:sz w:val="20"/>
          <w:szCs w:val="20"/>
        </w:rPr>
        <w:t>Results</w:t>
      </w:r>
      <w:r w:rsidRPr="00D725E7">
        <w:rPr>
          <w:rFonts w:ascii="Times New Roman" w:hAnsi="Times New Roman" w:cs="Times New Roman"/>
          <w:bCs/>
          <w:color w:val="000000"/>
          <w:sz w:val="20"/>
          <w:szCs w:val="20"/>
        </w:rPr>
        <w:t>:When</w:t>
      </w:r>
      <w:proofErr w:type="spellEnd"/>
      <w:proofErr w:type="gramEnd"/>
      <w:r w:rsidRPr="00D725E7">
        <w:rPr>
          <w:rFonts w:ascii="Times New Roman" w:hAnsi="Times New Roman" w:cs="Times New Roman"/>
          <w:bCs/>
          <w:color w:val="000000"/>
          <w:sz w:val="20"/>
          <w:szCs w:val="20"/>
        </w:rPr>
        <w:t xml:space="preserve"> the filling materials were compared with each other, statistically significant difference was observed at the 12th month on the marginal discoloration. Statistically significant difference was observed between the two materials in the 6th month on the marginal adaptation (p&lt;0.05)</w:t>
      </w:r>
      <w:r w:rsidRPr="00D725E7">
        <w:rPr>
          <w:rFonts w:ascii="Times New Roman" w:eastAsia="Calibri" w:hAnsi="Times New Roman" w:cs="Times New Roman"/>
          <w:color w:val="000000"/>
          <w:sz w:val="20"/>
          <w:szCs w:val="20"/>
        </w:rPr>
        <w:t>.</w:t>
      </w:r>
    </w:p>
    <w:p w:rsidR="00F063CE" w:rsidRDefault="00F063CE" w:rsidP="00F063CE">
      <w:pPr>
        <w:spacing w:line="360" w:lineRule="auto"/>
        <w:contextualSpacing/>
        <w:jc w:val="both"/>
        <w:rPr>
          <w:rFonts w:ascii="Times New Roman" w:hAnsi="Times New Roman" w:cs="Times New Roman"/>
          <w:bCs/>
          <w:color w:val="000000"/>
          <w:sz w:val="20"/>
          <w:szCs w:val="20"/>
        </w:rPr>
      </w:pPr>
      <w:proofErr w:type="spellStart"/>
      <w:proofErr w:type="gramStart"/>
      <w:r w:rsidRPr="00D725E7">
        <w:rPr>
          <w:rFonts w:ascii="Times New Roman" w:hAnsi="Times New Roman" w:cs="Times New Roman"/>
          <w:b/>
          <w:color w:val="000000"/>
          <w:sz w:val="20"/>
          <w:szCs w:val="20"/>
        </w:rPr>
        <w:t>Conclusion:</w:t>
      </w:r>
      <w:r w:rsidRPr="00D725E7">
        <w:rPr>
          <w:rFonts w:ascii="Times New Roman" w:hAnsi="Times New Roman" w:cs="Times New Roman"/>
          <w:bCs/>
          <w:color w:val="000000"/>
          <w:sz w:val="20"/>
          <w:szCs w:val="20"/>
        </w:rPr>
        <w:t>In</w:t>
      </w:r>
      <w:proofErr w:type="spellEnd"/>
      <w:proofErr w:type="gramEnd"/>
      <w:r w:rsidRPr="00D725E7">
        <w:rPr>
          <w:rFonts w:ascii="Times New Roman" w:hAnsi="Times New Roman" w:cs="Times New Roman"/>
          <w:bCs/>
          <w:color w:val="000000"/>
          <w:sz w:val="20"/>
          <w:szCs w:val="20"/>
        </w:rPr>
        <w:t xml:space="preserve"> view of this results, there is a need to improve the physical properties of the GC filling material and further </w:t>
      </w:r>
      <w:r w:rsidRPr="00D725E7">
        <w:rPr>
          <w:rFonts w:ascii="Times New Roman" w:hAnsi="Times New Roman" w:cs="Times New Roman"/>
          <w:bCs/>
          <w:i/>
          <w:color w:val="000000"/>
          <w:sz w:val="20"/>
          <w:szCs w:val="20"/>
        </w:rPr>
        <w:t>in vivo</w:t>
      </w:r>
      <w:r w:rsidRPr="00D725E7">
        <w:rPr>
          <w:rFonts w:ascii="Times New Roman" w:hAnsi="Times New Roman" w:cs="Times New Roman"/>
          <w:bCs/>
          <w:color w:val="000000"/>
          <w:sz w:val="20"/>
          <w:szCs w:val="20"/>
        </w:rPr>
        <w:t xml:space="preserve"> study.</w:t>
      </w:r>
    </w:p>
    <w:p w:rsidR="00F063CE" w:rsidRPr="00D725E7" w:rsidRDefault="00F063CE" w:rsidP="00F063CE">
      <w:pPr>
        <w:spacing w:line="360" w:lineRule="auto"/>
        <w:contextualSpacing/>
        <w:jc w:val="both"/>
        <w:rPr>
          <w:rFonts w:ascii="Times New Roman" w:eastAsia="Calibri" w:hAnsi="Times New Roman" w:cs="Times New Roman"/>
          <w:bCs/>
          <w:sz w:val="20"/>
          <w:szCs w:val="20"/>
        </w:rPr>
      </w:pPr>
      <w:r w:rsidRPr="00D725E7">
        <w:rPr>
          <w:rFonts w:ascii="Times New Roman" w:hAnsi="Times New Roman" w:cs="Times New Roman"/>
          <w:b/>
          <w:color w:val="000000"/>
          <w:sz w:val="20"/>
          <w:szCs w:val="20"/>
        </w:rPr>
        <w:t xml:space="preserve">Clinical </w:t>
      </w:r>
      <w:proofErr w:type="spellStart"/>
      <w:proofErr w:type="gramStart"/>
      <w:r w:rsidRPr="00D725E7">
        <w:rPr>
          <w:rFonts w:ascii="Times New Roman" w:hAnsi="Times New Roman" w:cs="Times New Roman"/>
          <w:b/>
          <w:color w:val="000000"/>
          <w:sz w:val="20"/>
          <w:szCs w:val="20"/>
        </w:rPr>
        <w:t>Relevance:</w:t>
      </w:r>
      <w:r w:rsidR="000037CB">
        <w:rPr>
          <w:rFonts w:ascii="Times New Roman" w:hAnsi="Times New Roman" w:cs="Times New Roman"/>
          <w:bCs/>
          <w:color w:val="000000"/>
          <w:sz w:val="20"/>
          <w:szCs w:val="20"/>
        </w:rPr>
        <w:t>Due</w:t>
      </w:r>
      <w:proofErr w:type="spellEnd"/>
      <w:proofErr w:type="gramEnd"/>
      <w:r w:rsidR="000037CB">
        <w:rPr>
          <w:rFonts w:ascii="Times New Roman" w:hAnsi="Times New Roman" w:cs="Times New Roman"/>
          <w:bCs/>
          <w:color w:val="000000"/>
          <w:sz w:val="20"/>
          <w:szCs w:val="20"/>
        </w:rPr>
        <w:t xml:space="preserve"> to not provide good marginal sealing, it is suggested that GC systems are applied to Class I cavities for now.</w:t>
      </w:r>
    </w:p>
    <w:p w:rsidR="00F063CE" w:rsidRDefault="00F063CE" w:rsidP="00F063CE">
      <w:pPr>
        <w:spacing w:line="360" w:lineRule="auto"/>
        <w:rPr>
          <w:rFonts w:ascii="Times New Roman" w:hAnsi="Times New Roman" w:cs="Times New Roman"/>
          <w:bCs/>
          <w:color w:val="000000"/>
          <w:sz w:val="20"/>
          <w:szCs w:val="20"/>
        </w:rPr>
      </w:pPr>
      <w:r w:rsidRPr="00666C1E">
        <w:rPr>
          <w:rFonts w:ascii="Times New Roman" w:hAnsi="Times New Roman" w:cs="Times New Roman"/>
          <w:b/>
          <w:color w:val="000000"/>
          <w:sz w:val="20"/>
          <w:szCs w:val="20"/>
        </w:rPr>
        <w:t xml:space="preserve">Key </w:t>
      </w:r>
      <w:proofErr w:type="spellStart"/>
      <w:proofErr w:type="gramStart"/>
      <w:r w:rsidRPr="00666C1E">
        <w:rPr>
          <w:rFonts w:ascii="Times New Roman" w:hAnsi="Times New Roman" w:cs="Times New Roman"/>
          <w:b/>
          <w:color w:val="000000"/>
          <w:sz w:val="20"/>
          <w:szCs w:val="20"/>
        </w:rPr>
        <w:t>words:</w:t>
      </w:r>
      <w:r>
        <w:rPr>
          <w:rFonts w:ascii="Times New Roman" w:hAnsi="Times New Roman" w:cs="Times New Roman"/>
          <w:bCs/>
          <w:color w:val="000000"/>
          <w:sz w:val="20"/>
          <w:szCs w:val="20"/>
        </w:rPr>
        <w:t>Glass</w:t>
      </w:r>
      <w:proofErr w:type="gramEnd"/>
      <w:r>
        <w:rPr>
          <w:rFonts w:ascii="Times New Roman" w:hAnsi="Times New Roman" w:cs="Times New Roman"/>
          <w:bCs/>
          <w:color w:val="000000"/>
          <w:sz w:val="20"/>
          <w:szCs w:val="20"/>
        </w:rPr>
        <w:t>-carbomer</w:t>
      </w:r>
      <w:proofErr w:type="spellEnd"/>
      <w:r>
        <w:rPr>
          <w:rFonts w:ascii="Times New Roman" w:hAnsi="Times New Roman" w:cs="Times New Roman"/>
          <w:bCs/>
          <w:color w:val="000000"/>
          <w:sz w:val="20"/>
          <w:szCs w:val="20"/>
        </w:rPr>
        <w:t>; Glass-ionomer cement; Resin composite; Clinical trial</w:t>
      </w:r>
    </w:p>
    <w:p w:rsidR="00DB067A" w:rsidRDefault="00DB067A">
      <w:bookmarkStart w:id="0" w:name="_GoBack"/>
      <w:bookmarkEnd w:id="0"/>
    </w:p>
    <w:sectPr w:rsidR="00DB067A" w:rsidSect="002B35D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3CE"/>
    <w:rsid w:val="00000815"/>
    <w:rsid w:val="000037CB"/>
    <w:rsid w:val="00035B1B"/>
    <w:rsid w:val="00076DB4"/>
    <w:rsid w:val="00083592"/>
    <w:rsid w:val="00093569"/>
    <w:rsid w:val="00094A15"/>
    <w:rsid w:val="000A3CF5"/>
    <w:rsid w:val="000B4C66"/>
    <w:rsid w:val="000B653B"/>
    <w:rsid w:val="000C31CC"/>
    <w:rsid w:val="000C48F8"/>
    <w:rsid w:val="000E3228"/>
    <w:rsid w:val="000F2225"/>
    <w:rsid w:val="000F23D4"/>
    <w:rsid w:val="001010B3"/>
    <w:rsid w:val="00103B69"/>
    <w:rsid w:val="00105C36"/>
    <w:rsid w:val="00110931"/>
    <w:rsid w:val="00120BAD"/>
    <w:rsid w:val="001358A4"/>
    <w:rsid w:val="001500D9"/>
    <w:rsid w:val="001505EF"/>
    <w:rsid w:val="00164EDC"/>
    <w:rsid w:val="001704FC"/>
    <w:rsid w:val="00182CE5"/>
    <w:rsid w:val="001926A6"/>
    <w:rsid w:val="001A0279"/>
    <w:rsid w:val="001B5E60"/>
    <w:rsid w:val="001C25F5"/>
    <w:rsid w:val="001C7456"/>
    <w:rsid w:val="001E5E3B"/>
    <w:rsid w:val="00227762"/>
    <w:rsid w:val="0023692C"/>
    <w:rsid w:val="00242CEA"/>
    <w:rsid w:val="00250791"/>
    <w:rsid w:val="00286DE1"/>
    <w:rsid w:val="0029203A"/>
    <w:rsid w:val="002B09AD"/>
    <w:rsid w:val="002B16E9"/>
    <w:rsid w:val="002B35D0"/>
    <w:rsid w:val="002D65AC"/>
    <w:rsid w:val="002E073C"/>
    <w:rsid w:val="002E40FA"/>
    <w:rsid w:val="00302DC9"/>
    <w:rsid w:val="00305E14"/>
    <w:rsid w:val="0031609A"/>
    <w:rsid w:val="00316307"/>
    <w:rsid w:val="00323070"/>
    <w:rsid w:val="00336DC6"/>
    <w:rsid w:val="00350602"/>
    <w:rsid w:val="00361A04"/>
    <w:rsid w:val="00375FD1"/>
    <w:rsid w:val="0038004A"/>
    <w:rsid w:val="0038658D"/>
    <w:rsid w:val="00392B6E"/>
    <w:rsid w:val="00396538"/>
    <w:rsid w:val="003A2BF1"/>
    <w:rsid w:val="003B134D"/>
    <w:rsid w:val="003C0E3C"/>
    <w:rsid w:val="00400BA2"/>
    <w:rsid w:val="00436DF9"/>
    <w:rsid w:val="004400F4"/>
    <w:rsid w:val="00455822"/>
    <w:rsid w:val="00463892"/>
    <w:rsid w:val="00471D5A"/>
    <w:rsid w:val="00471DCB"/>
    <w:rsid w:val="00481AEF"/>
    <w:rsid w:val="0049292C"/>
    <w:rsid w:val="00492BD2"/>
    <w:rsid w:val="004951F1"/>
    <w:rsid w:val="004A6E7C"/>
    <w:rsid w:val="004A7E01"/>
    <w:rsid w:val="004C03FF"/>
    <w:rsid w:val="004C187C"/>
    <w:rsid w:val="004C626F"/>
    <w:rsid w:val="004C6704"/>
    <w:rsid w:val="004D1F8A"/>
    <w:rsid w:val="004E2351"/>
    <w:rsid w:val="004F202C"/>
    <w:rsid w:val="004F6870"/>
    <w:rsid w:val="0050362F"/>
    <w:rsid w:val="0052243A"/>
    <w:rsid w:val="0052466B"/>
    <w:rsid w:val="00527048"/>
    <w:rsid w:val="00551A03"/>
    <w:rsid w:val="00564868"/>
    <w:rsid w:val="00582723"/>
    <w:rsid w:val="005A773F"/>
    <w:rsid w:val="005A79A3"/>
    <w:rsid w:val="005C1FDE"/>
    <w:rsid w:val="005D7AEF"/>
    <w:rsid w:val="005F2130"/>
    <w:rsid w:val="005F6E07"/>
    <w:rsid w:val="00600377"/>
    <w:rsid w:val="00612E4C"/>
    <w:rsid w:val="00622CBF"/>
    <w:rsid w:val="00636C28"/>
    <w:rsid w:val="00640B2E"/>
    <w:rsid w:val="006411B3"/>
    <w:rsid w:val="006535D6"/>
    <w:rsid w:val="00654F11"/>
    <w:rsid w:val="006777A3"/>
    <w:rsid w:val="00687EBB"/>
    <w:rsid w:val="006C3952"/>
    <w:rsid w:val="006C7F6C"/>
    <w:rsid w:val="006E2763"/>
    <w:rsid w:val="006F0E50"/>
    <w:rsid w:val="006F58F4"/>
    <w:rsid w:val="006F79B0"/>
    <w:rsid w:val="00704135"/>
    <w:rsid w:val="00705C5D"/>
    <w:rsid w:val="007109F7"/>
    <w:rsid w:val="00720077"/>
    <w:rsid w:val="007240CB"/>
    <w:rsid w:val="007303FE"/>
    <w:rsid w:val="00742539"/>
    <w:rsid w:val="00742C17"/>
    <w:rsid w:val="00746443"/>
    <w:rsid w:val="007536FE"/>
    <w:rsid w:val="00760082"/>
    <w:rsid w:val="00763C60"/>
    <w:rsid w:val="00765A58"/>
    <w:rsid w:val="00770448"/>
    <w:rsid w:val="007719B3"/>
    <w:rsid w:val="00781EB1"/>
    <w:rsid w:val="007976B7"/>
    <w:rsid w:val="007A560D"/>
    <w:rsid w:val="007B75A0"/>
    <w:rsid w:val="007D578F"/>
    <w:rsid w:val="007D5B2D"/>
    <w:rsid w:val="00800023"/>
    <w:rsid w:val="0080028B"/>
    <w:rsid w:val="008076C4"/>
    <w:rsid w:val="00823936"/>
    <w:rsid w:val="00832503"/>
    <w:rsid w:val="00840426"/>
    <w:rsid w:val="00861DFB"/>
    <w:rsid w:val="00893E05"/>
    <w:rsid w:val="00897233"/>
    <w:rsid w:val="008A3A25"/>
    <w:rsid w:val="008B7A7A"/>
    <w:rsid w:val="008E3DC3"/>
    <w:rsid w:val="008F3700"/>
    <w:rsid w:val="008F4010"/>
    <w:rsid w:val="008F5B99"/>
    <w:rsid w:val="008F7D20"/>
    <w:rsid w:val="009031A6"/>
    <w:rsid w:val="009073B3"/>
    <w:rsid w:val="00913052"/>
    <w:rsid w:val="009166EB"/>
    <w:rsid w:val="00921346"/>
    <w:rsid w:val="00922386"/>
    <w:rsid w:val="0092277D"/>
    <w:rsid w:val="00923E9C"/>
    <w:rsid w:val="00930DE9"/>
    <w:rsid w:val="00940A00"/>
    <w:rsid w:val="009448C9"/>
    <w:rsid w:val="00950435"/>
    <w:rsid w:val="00957FE2"/>
    <w:rsid w:val="00963AA9"/>
    <w:rsid w:val="00963F11"/>
    <w:rsid w:val="00970EB6"/>
    <w:rsid w:val="00982FCF"/>
    <w:rsid w:val="009974E0"/>
    <w:rsid w:val="009B52E9"/>
    <w:rsid w:val="009C12DD"/>
    <w:rsid w:val="009D12D8"/>
    <w:rsid w:val="009D6ADE"/>
    <w:rsid w:val="009E3807"/>
    <w:rsid w:val="009F6A1F"/>
    <w:rsid w:val="00A00878"/>
    <w:rsid w:val="00A00EB2"/>
    <w:rsid w:val="00A140F1"/>
    <w:rsid w:val="00A14DA2"/>
    <w:rsid w:val="00A16427"/>
    <w:rsid w:val="00A2221C"/>
    <w:rsid w:val="00A35E8F"/>
    <w:rsid w:val="00A46798"/>
    <w:rsid w:val="00A61792"/>
    <w:rsid w:val="00A67B48"/>
    <w:rsid w:val="00A705F0"/>
    <w:rsid w:val="00A76405"/>
    <w:rsid w:val="00A838BD"/>
    <w:rsid w:val="00A849ED"/>
    <w:rsid w:val="00A958C1"/>
    <w:rsid w:val="00A9599E"/>
    <w:rsid w:val="00AA1B4C"/>
    <w:rsid w:val="00AB2043"/>
    <w:rsid w:val="00AC3D12"/>
    <w:rsid w:val="00AD3B23"/>
    <w:rsid w:val="00AD7FBE"/>
    <w:rsid w:val="00AF0651"/>
    <w:rsid w:val="00B04103"/>
    <w:rsid w:val="00B04CF9"/>
    <w:rsid w:val="00B12113"/>
    <w:rsid w:val="00B2275F"/>
    <w:rsid w:val="00B36F99"/>
    <w:rsid w:val="00B43C6E"/>
    <w:rsid w:val="00B747F2"/>
    <w:rsid w:val="00B826F1"/>
    <w:rsid w:val="00B87E46"/>
    <w:rsid w:val="00B95CCF"/>
    <w:rsid w:val="00BA7654"/>
    <w:rsid w:val="00BB57D3"/>
    <w:rsid w:val="00BB6E73"/>
    <w:rsid w:val="00BB76DC"/>
    <w:rsid w:val="00BC34A6"/>
    <w:rsid w:val="00BD7D24"/>
    <w:rsid w:val="00BE106C"/>
    <w:rsid w:val="00BE4D0C"/>
    <w:rsid w:val="00BE5F5E"/>
    <w:rsid w:val="00BF7850"/>
    <w:rsid w:val="00C07B5E"/>
    <w:rsid w:val="00C36ACC"/>
    <w:rsid w:val="00C42F73"/>
    <w:rsid w:val="00C82A1B"/>
    <w:rsid w:val="00C83E3D"/>
    <w:rsid w:val="00CA00A8"/>
    <w:rsid w:val="00CA3D01"/>
    <w:rsid w:val="00CB7521"/>
    <w:rsid w:val="00CC1BDA"/>
    <w:rsid w:val="00CC23EC"/>
    <w:rsid w:val="00CE2AD3"/>
    <w:rsid w:val="00CF74DA"/>
    <w:rsid w:val="00CF7D2D"/>
    <w:rsid w:val="00D12ED7"/>
    <w:rsid w:val="00D20A47"/>
    <w:rsid w:val="00D279FE"/>
    <w:rsid w:val="00D57B30"/>
    <w:rsid w:val="00D63808"/>
    <w:rsid w:val="00D72B6B"/>
    <w:rsid w:val="00D85B80"/>
    <w:rsid w:val="00D910EA"/>
    <w:rsid w:val="00DA776D"/>
    <w:rsid w:val="00DB067A"/>
    <w:rsid w:val="00DB2461"/>
    <w:rsid w:val="00DB6B90"/>
    <w:rsid w:val="00DD6963"/>
    <w:rsid w:val="00DE18FA"/>
    <w:rsid w:val="00DE3CAC"/>
    <w:rsid w:val="00DF4CD5"/>
    <w:rsid w:val="00DF4DE4"/>
    <w:rsid w:val="00E04198"/>
    <w:rsid w:val="00E240E1"/>
    <w:rsid w:val="00E27C94"/>
    <w:rsid w:val="00E30DA2"/>
    <w:rsid w:val="00E530F1"/>
    <w:rsid w:val="00E568AF"/>
    <w:rsid w:val="00E57F81"/>
    <w:rsid w:val="00E62DB5"/>
    <w:rsid w:val="00E86C26"/>
    <w:rsid w:val="00EB1DDC"/>
    <w:rsid w:val="00EB350D"/>
    <w:rsid w:val="00ED5125"/>
    <w:rsid w:val="00ED71FE"/>
    <w:rsid w:val="00EE0604"/>
    <w:rsid w:val="00EE605A"/>
    <w:rsid w:val="00F05079"/>
    <w:rsid w:val="00F063CE"/>
    <w:rsid w:val="00F11F15"/>
    <w:rsid w:val="00F2474D"/>
    <w:rsid w:val="00F260EF"/>
    <w:rsid w:val="00F2762B"/>
    <w:rsid w:val="00F278D0"/>
    <w:rsid w:val="00F368B2"/>
    <w:rsid w:val="00F51547"/>
    <w:rsid w:val="00F52438"/>
    <w:rsid w:val="00F679DC"/>
    <w:rsid w:val="00F76DEB"/>
    <w:rsid w:val="00F80A89"/>
    <w:rsid w:val="00F87845"/>
    <w:rsid w:val="00F9284C"/>
    <w:rsid w:val="00FB35D9"/>
    <w:rsid w:val="00FB6191"/>
    <w:rsid w:val="00FB6B3F"/>
    <w:rsid w:val="00FC67D7"/>
    <w:rsid w:val="00FD58A5"/>
    <w:rsid w:val="00FD697A"/>
    <w:rsid w:val="00FE2F1F"/>
    <w:rsid w:val="00FF75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767C88D"/>
  <w15:chartTrackingRefBased/>
  <w15:docId w15:val="{258B915A-894A-884C-89DA-59DEBFAD6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3CE"/>
    <w:pPr>
      <w:spacing w:after="160" w:line="259" w:lineRule="auto"/>
    </w:pPr>
    <w:rPr>
      <w:sz w:val="22"/>
      <w:szCs w:val="22"/>
      <w:lang w:val="en-GB"/>
    </w:rPr>
  </w:style>
  <w:style w:type="paragraph" w:styleId="Balk1">
    <w:name w:val="heading 1"/>
    <w:basedOn w:val="Normal"/>
    <w:link w:val="Balk1Char"/>
    <w:autoRedefine/>
    <w:uiPriority w:val="9"/>
    <w:qFormat/>
    <w:rsid w:val="00C07B5E"/>
    <w:pPr>
      <w:spacing w:before="100" w:beforeAutospacing="1" w:after="100" w:afterAutospacing="1" w:line="240" w:lineRule="auto"/>
      <w:outlineLvl w:val="0"/>
    </w:pPr>
    <w:rPr>
      <w:rFonts w:ascii="Times New Roman" w:eastAsia="Times New Roman" w:hAnsi="Times New Roman" w:cs="Times New Roman"/>
      <w:b/>
      <w:bCs/>
      <w:kern w:val="36"/>
      <w:sz w:val="48"/>
      <w:szCs w:val="48"/>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07B5E"/>
    <w:rPr>
      <w:rFonts w:ascii="Times New Roman" w:eastAsia="Times New Roman" w:hAnsi="Times New Roman" w:cs="Times New Roman"/>
      <w:b/>
      <w:bCs/>
      <w:kern w:val="36"/>
      <w:sz w:val="48"/>
      <w:szCs w:val="48"/>
      <w:lang w:eastAsia="tr-TR"/>
    </w:rPr>
  </w:style>
  <w:style w:type="character" w:styleId="Kpr">
    <w:name w:val="Hyperlink"/>
    <w:basedOn w:val="VarsaylanParagrafYazTipi"/>
    <w:uiPriority w:val="99"/>
    <w:unhideWhenUsed/>
    <w:rsid w:val="00F063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271</Words>
  <Characters>1548</Characters>
  <Application>Microsoft Office Word</Application>
  <DocSecurity>0</DocSecurity>
  <Lines>12</Lines>
  <Paragraphs>3</Paragraphs>
  <ScaleCrop>false</ScaleCrop>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buket kaynar</dc:creator>
  <cp:keywords/>
  <dc:description/>
  <cp:lastModifiedBy>buket kaynar</cp:lastModifiedBy>
  <cp:revision>16</cp:revision>
  <dcterms:created xsi:type="dcterms:W3CDTF">2019-11-11T07:54:00Z</dcterms:created>
  <dcterms:modified xsi:type="dcterms:W3CDTF">2020-02-28T12:31:00Z</dcterms:modified>
</cp:coreProperties>
</file>