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F06" w:rsidRPr="007C1DB5" w:rsidRDefault="00966F06" w:rsidP="008D6A93">
      <w:pPr>
        <w:spacing w:line="360" w:lineRule="auto"/>
        <w:jc w:val="center"/>
        <w:rPr>
          <w:rFonts w:ascii="Times New Roman" w:hAnsi="Times New Roman" w:cs="Times New Roman"/>
          <w:b/>
          <w:sz w:val="28"/>
          <w:szCs w:val="28"/>
        </w:rPr>
      </w:pPr>
      <w:r w:rsidRPr="007C1DB5">
        <w:rPr>
          <w:rFonts w:ascii="Times New Roman" w:hAnsi="Times New Roman" w:cs="Times New Roman"/>
          <w:b/>
          <w:sz w:val="28"/>
          <w:szCs w:val="28"/>
        </w:rPr>
        <w:t>E- POSTER</w:t>
      </w:r>
    </w:p>
    <w:p w:rsidR="00966F06" w:rsidRPr="007C1DB5" w:rsidRDefault="00966F06" w:rsidP="008D6A93">
      <w:pPr>
        <w:spacing w:line="360" w:lineRule="auto"/>
        <w:jc w:val="center"/>
        <w:rPr>
          <w:rFonts w:ascii="Times New Roman" w:hAnsi="Times New Roman" w:cs="Times New Roman"/>
          <w:b/>
          <w:sz w:val="24"/>
          <w:szCs w:val="24"/>
        </w:rPr>
      </w:pPr>
      <w:r w:rsidRPr="007C1DB5">
        <w:rPr>
          <w:rFonts w:ascii="Times New Roman" w:hAnsi="Times New Roman" w:cs="Times New Roman"/>
          <w:b/>
          <w:sz w:val="24"/>
          <w:szCs w:val="24"/>
        </w:rPr>
        <w:t>MTA AS A REVOLUTION IN ENDODONTICS</w:t>
      </w:r>
    </w:p>
    <w:p w:rsidR="00966F06" w:rsidRPr="007C1DB5" w:rsidRDefault="00966F06" w:rsidP="007C1DB5">
      <w:pPr>
        <w:spacing w:line="360" w:lineRule="auto"/>
        <w:jc w:val="both"/>
        <w:rPr>
          <w:rFonts w:ascii="Times New Roman" w:hAnsi="Times New Roman" w:cs="Times New Roman"/>
          <w:sz w:val="24"/>
          <w:szCs w:val="24"/>
        </w:rPr>
      </w:pPr>
      <w:r w:rsidRPr="007C1DB5">
        <w:rPr>
          <w:rFonts w:ascii="Times New Roman" w:hAnsi="Times New Roman" w:cs="Times New Roman"/>
          <w:sz w:val="24"/>
          <w:szCs w:val="24"/>
        </w:rPr>
        <w:t>Abstract:</w:t>
      </w:r>
    </w:p>
    <w:p w:rsidR="00966F06" w:rsidRPr="007C1DB5" w:rsidRDefault="00966F06" w:rsidP="007C1DB5">
      <w:pPr>
        <w:spacing w:line="360" w:lineRule="auto"/>
        <w:jc w:val="both"/>
        <w:rPr>
          <w:rFonts w:ascii="Times New Roman" w:hAnsi="Times New Roman" w:cs="Times New Roman"/>
          <w:sz w:val="24"/>
          <w:szCs w:val="24"/>
          <w:lang w:val="en-US"/>
        </w:rPr>
      </w:pPr>
      <w:r w:rsidRPr="007C1DB5">
        <w:rPr>
          <w:rFonts w:ascii="Times New Roman" w:hAnsi="Times New Roman" w:cs="Times New Roman"/>
          <w:sz w:val="24"/>
          <w:szCs w:val="24"/>
          <w:lang w:val="en-US"/>
        </w:rPr>
        <w:t xml:space="preserve">In the field of dental sciences, research for newer materials is never ending. Various materials have been formulated, tested and standardized to obtain maximum benefit for good clinical performance. One such new material is Mineral Trioxide Aggregate (MTA). It </w:t>
      </w:r>
      <w:r w:rsidRPr="007C1DB5">
        <w:rPr>
          <w:rFonts w:ascii="Times New Roman" w:hAnsi="Times New Roman" w:cs="Times New Roman"/>
          <w:color w:val="000000"/>
          <w:sz w:val="24"/>
          <w:szCs w:val="24"/>
          <w:shd w:val="clear" w:color="auto" w:fill="FFFFFF"/>
        </w:rPr>
        <w:t xml:space="preserve">is one of the most versatile materials of this century in the field of dentistry. Its composition is </w:t>
      </w:r>
      <w:proofErr w:type="spellStart"/>
      <w:r w:rsidRPr="007C1DB5">
        <w:rPr>
          <w:rFonts w:ascii="Times New Roman" w:hAnsi="Times New Roman" w:cs="Times New Roman"/>
          <w:bCs/>
          <w:sz w:val="24"/>
          <w:szCs w:val="24"/>
          <w:lang w:val="en-US"/>
        </w:rPr>
        <w:t>tricalcium</w:t>
      </w:r>
      <w:proofErr w:type="spellEnd"/>
      <w:r w:rsidRPr="007C1DB5">
        <w:rPr>
          <w:rFonts w:ascii="Times New Roman" w:hAnsi="Times New Roman" w:cs="Times New Roman"/>
          <w:bCs/>
          <w:sz w:val="24"/>
          <w:szCs w:val="24"/>
          <w:lang w:val="en-US"/>
        </w:rPr>
        <w:t xml:space="preserve"> silicate, </w:t>
      </w:r>
      <w:proofErr w:type="spellStart"/>
      <w:r w:rsidRPr="007C1DB5">
        <w:rPr>
          <w:rFonts w:ascii="Times New Roman" w:hAnsi="Times New Roman" w:cs="Times New Roman"/>
          <w:bCs/>
          <w:sz w:val="24"/>
          <w:szCs w:val="24"/>
          <w:lang w:val="en-US"/>
        </w:rPr>
        <w:t>dicalcium</w:t>
      </w:r>
      <w:proofErr w:type="spellEnd"/>
      <w:r w:rsidRPr="007C1DB5">
        <w:rPr>
          <w:rFonts w:ascii="Times New Roman" w:hAnsi="Times New Roman" w:cs="Times New Roman"/>
          <w:bCs/>
          <w:sz w:val="24"/>
          <w:szCs w:val="24"/>
          <w:lang w:val="en-US"/>
        </w:rPr>
        <w:t xml:space="preserve"> silicate, </w:t>
      </w:r>
      <w:proofErr w:type="spellStart"/>
      <w:r w:rsidRPr="007C1DB5">
        <w:rPr>
          <w:rFonts w:ascii="Times New Roman" w:hAnsi="Times New Roman" w:cs="Times New Roman"/>
          <w:bCs/>
          <w:sz w:val="24"/>
          <w:szCs w:val="24"/>
          <w:lang w:val="en-US"/>
        </w:rPr>
        <w:t>tricalcium</w:t>
      </w:r>
      <w:proofErr w:type="spellEnd"/>
      <w:r w:rsidRPr="007C1DB5">
        <w:rPr>
          <w:rFonts w:ascii="Times New Roman" w:hAnsi="Times New Roman" w:cs="Times New Roman"/>
          <w:bCs/>
          <w:sz w:val="24"/>
          <w:szCs w:val="24"/>
          <w:lang w:val="en-US"/>
        </w:rPr>
        <w:t xml:space="preserve"> </w:t>
      </w:r>
      <w:proofErr w:type="spellStart"/>
      <w:r w:rsidRPr="007C1DB5">
        <w:rPr>
          <w:rFonts w:ascii="Times New Roman" w:hAnsi="Times New Roman" w:cs="Times New Roman"/>
          <w:bCs/>
          <w:sz w:val="24"/>
          <w:szCs w:val="24"/>
          <w:lang w:val="en-US"/>
        </w:rPr>
        <w:t>aluminate</w:t>
      </w:r>
      <w:proofErr w:type="spellEnd"/>
      <w:r w:rsidRPr="007C1DB5">
        <w:rPr>
          <w:rFonts w:ascii="Times New Roman" w:hAnsi="Times New Roman" w:cs="Times New Roman"/>
          <w:bCs/>
          <w:sz w:val="24"/>
          <w:szCs w:val="24"/>
          <w:lang w:val="en-US"/>
        </w:rPr>
        <w:t xml:space="preserve">, </w:t>
      </w:r>
      <w:proofErr w:type="spellStart"/>
      <w:r w:rsidRPr="007C1DB5">
        <w:rPr>
          <w:rFonts w:ascii="Times New Roman" w:hAnsi="Times New Roman" w:cs="Times New Roman"/>
          <w:bCs/>
          <w:sz w:val="24"/>
          <w:szCs w:val="24"/>
          <w:lang w:val="en-US"/>
        </w:rPr>
        <w:t>tetracalcium</w:t>
      </w:r>
      <w:proofErr w:type="spellEnd"/>
      <w:r w:rsidRPr="007C1DB5">
        <w:rPr>
          <w:rFonts w:ascii="Times New Roman" w:hAnsi="Times New Roman" w:cs="Times New Roman"/>
          <w:bCs/>
          <w:sz w:val="24"/>
          <w:szCs w:val="24"/>
          <w:lang w:val="en-US"/>
        </w:rPr>
        <w:t xml:space="preserve"> </w:t>
      </w:r>
      <w:proofErr w:type="spellStart"/>
      <w:r w:rsidRPr="007C1DB5">
        <w:rPr>
          <w:rFonts w:ascii="Times New Roman" w:hAnsi="Times New Roman" w:cs="Times New Roman"/>
          <w:bCs/>
          <w:sz w:val="24"/>
          <w:szCs w:val="24"/>
          <w:lang w:val="en-US"/>
        </w:rPr>
        <w:t>aluminoferrite</w:t>
      </w:r>
      <w:proofErr w:type="spellEnd"/>
      <w:r w:rsidRPr="007C1DB5">
        <w:rPr>
          <w:rFonts w:ascii="Times New Roman" w:hAnsi="Times New Roman" w:cs="Times New Roman"/>
          <w:bCs/>
          <w:sz w:val="24"/>
          <w:szCs w:val="24"/>
          <w:lang w:val="en-US"/>
        </w:rPr>
        <w:t xml:space="preserve">, </w:t>
      </w:r>
      <w:proofErr w:type="gramStart"/>
      <w:r w:rsidRPr="007C1DB5">
        <w:rPr>
          <w:rFonts w:ascii="Times New Roman" w:hAnsi="Times New Roman" w:cs="Times New Roman"/>
          <w:bCs/>
          <w:sz w:val="24"/>
          <w:szCs w:val="24"/>
          <w:lang w:val="en-US"/>
        </w:rPr>
        <w:t>calcium</w:t>
      </w:r>
      <w:proofErr w:type="gramEnd"/>
      <w:r w:rsidRPr="007C1DB5">
        <w:rPr>
          <w:rFonts w:ascii="Times New Roman" w:hAnsi="Times New Roman" w:cs="Times New Roman"/>
          <w:bCs/>
          <w:sz w:val="24"/>
          <w:szCs w:val="24"/>
          <w:lang w:val="en-US"/>
        </w:rPr>
        <w:t xml:space="preserve"> sulfate and bismuth oxide. </w:t>
      </w:r>
      <w:r w:rsidRPr="007C1DB5">
        <w:rPr>
          <w:rFonts w:ascii="Times New Roman" w:hAnsi="Times New Roman" w:cs="Times New Roman"/>
          <w:color w:val="000000"/>
          <w:sz w:val="24"/>
          <w:szCs w:val="24"/>
          <w:shd w:val="clear" w:color="auto" w:fill="FFFFFF"/>
        </w:rPr>
        <w:t xml:space="preserve">MTA materials have been shown to have a biocompatible nature and have an excellent potential in endodontic use. MTA materials provide better </w:t>
      </w:r>
      <w:proofErr w:type="spellStart"/>
      <w:r w:rsidRPr="007C1DB5">
        <w:rPr>
          <w:rFonts w:ascii="Times New Roman" w:hAnsi="Times New Roman" w:cs="Times New Roman"/>
          <w:color w:val="000000"/>
          <w:sz w:val="24"/>
          <w:szCs w:val="24"/>
          <w:shd w:val="clear" w:color="auto" w:fill="FFFFFF"/>
        </w:rPr>
        <w:t>microleakage</w:t>
      </w:r>
      <w:proofErr w:type="spellEnd"/>
      <w:r w:rsidRPr="007C1DB5">
        <w:rPr>
          <w:rFonts w:ascii="Times New Roman" w:hAnsi="Times New Roman" w:cs="Times New Roman"/>
          <w:color w:val="000000"/>
          <w:sz w:val="24"/>
          <w:szCs w:val="24"/>
          <w:shd w:val="clear" w:color="auto" w:fill="FFFFFF"/>
        </w:rPr>
        <w:t xml:space="preserve"> protection than traditional endodontic repair materials using dye, fluid filtration, and bacterial penetration leakage models. In both animal and human studies, MTA materials have been shown to have excellent potential as pulp-capping and </w:t>
      </w:r>
      <w:proofErr w:type="spellStart"/>
      <w:r w:rsidRPr="007C1DB5">
        <w:rPr>
          <w:rFonts w:ascii="Times New Roman" w:hAnsi="Times New Roman" w:cs="Times New Roman"/>
          <w:color w:val="000000"/>
          <w:sz w:val="24"/>
          <w:szCs w:val="24"/>
          <w:shd w:val="clear" w:color="auto" w:fill="FFFFFF"/>
        </w:rPr>
        <w:t>pulpotomy</w:t>
      </w:r>
      <w:proofErr w:type="spellEnd"/>
      <w:r w:rsidRPr="007C1DB5">
        <w:rPr>
          <w:rFonts w:ascii="Times New Roman" w:hAnsi="Times New Roman" w:cs="Times New Roman"/>
          <w:color w:val="000000"/>
          <w:sz w:val="24"/>
          <w:szCs w:val="24"/>
          <w:shd w:val="clear" w:color="auto" w:fill="FFFFFF"/>
        </w:rPr>
        <w:t xml:space="preserve"> medicaments. It </w:t>
      </w:r>
      <w:r w:rsidRPr="007C1DB5">
        <w:rPr>
          <w:rFonts w:ascii="Times New Roman" w:hAnsi="Times New Roman" w:cs="Times New Roman"/>
          <w:sz w:val="24"/>
          <w:szCs w:val="24"/>
          <w:lang w:val="en-US"/>
        </w:rPr>
        <w:t xml:space="preserve">sets in the presence of moisture and is least </w:t>
      </w:r>
      <w:proofErr w:type="spellStart"/>
      <w:r w:rsidRPr="007C1DB5">
        <w:rPr>
          <w:rFonts w:ascii="Times New Roman" w:hAnsi="Times New Roman" w:cs="Times New Roman"/>
          <w:sz w:val="24"/>
          <w:szCs w:val="24"/>
          <w:lang w:val="en-US"/>
        </w:rPr>
        <w:t>cytotoxic</w:t>
      </w:r>
      <w:proofErr w:type="spellEnd"/>
      <w:r w:rsidRPr="007C1DB5">
        <w:rPr>
          <w:rFonts w:ascii="Times New Roman" w:hAnsi="Times New Roman" w:cs="Times New Roman"/>
          <w:sz w:val="24"/>
          <w:szCs w:val="24"/>
          <w:lang w:val="en-US"/>
        </w:rPr>
        <w:t xml:space="preserve"> compared to other materials. It has </w:t>
      </w:r>
      <w:proofErr w:type="spellStart"/>
      <w:r w:rsidRPr="007C1DB5">
        <w:rPr>
          <w:rFonts w:ascii="Times New Roman" w:hAnsi="Times New Roman" w:cs="Times New Roman"/>
          <w:sz w:val="24"/>
          <w:szCs w:val="24"/>
          <w:lang w:val="en-US"/>
        </w:rPr>
        <w:t>dentinogenic</w:t>
      </w:r>
      <w:proofErr w:type="spellEnd"/>
      <w:r w:rsidRPr="007C1DB5">
        <w:rPr>
          <w:rFonts w:ascii="Times New Roman" w:hAnsi="Times New Roman" w:cs="Times New Roman"/>
          <w:sz w:val="24"/>
          <w:szCs w:val="24"/>
          <w:lang w:val="en-US"/>
        </w:rPr>
        <w:t xml:space="preserve"> and </w:t>
      </w:r>
      <w:proofErr w:type="spellStart"/>
      <w:r w:rsidRPr="007C1DB5">
        <w:rPr>
          <w:rFonts w:ascii="Times New Roman" w:hAnsi="Times New Roman" w:cs="Times New Roman"/>
          <w:sz w:val="24"/>
          <w:szCs w:val="24"/>
          <w:lang w:val="en-US"/>
        </w:rPr>
        <w:t>osteogenic</w:t>
      </w:r>
      <w:proofErr w:type="spellEnd"/>
      <w:r w:rsidRPr="007C1DB5">
        <w:rPr>
          <w:rFonts w:ascii="Times New Roman" w:hAnsi="Times New Roman" w:cs="Times New Roman"/>
          <w:sz w:val="24"/>
          <w:szCs w:val="24"/>
          <w:lang w:val="en-US"/>
        </w:rPr>
        <w:t xml:space="preserve"> potential. It also induces </w:t>
      </w:r>
      <w:proofErr w:type="spellStart"/>
      <w:r w:rsidRPr="007C1DB5">
        <w:rPr>
          <w:rFonts w:ascii="Times New Roman" w:hAnsi="Times New Roman" w:cs="Times New Roman"/>
          <w:sz w:val="24"/>
          <w:szCs w:val="24"/>
          <w:lang w:val="en-US"/>
        </w:rPr>
        <w:t>cementum</w:t>
      </w:r>
      <w:proofErr w:type="spellEnd"/>
      <w:r w:rsidRPr="007C1DB5">
        <w:rPr>
          <w:rFonts w:ascii="Times New Roman" w:hAnsi="Times New Roman" w:cs="Times New Roman"/>
          <w:sz w:val="24"/>
          <w:szCs w:val="24"/>
          <w:lang w:val="en-US"/>
        </w:rPr>
        <w:t xml:space="preserve"> apposition and facilitates regeneration of periodontal ligament.</w:t>
      </w:r>
      <w:r w:rsidRPr="007C1DB5">
        <w:rPr>
          <w:rFonts w:ascii="Times New Roman" w:hAnsi="Times New Roman" w:cs="Times New Roman"/>
          <w:color w:val="000000"/>
          <w:sz w:val="24"/>
          <w:szCs w:val="24"/>
          <w:shd w:val="clear" w:color="auto" w:fill="FFFFFF"/>
        </w:rPr>
        <w:t xml:space="preserve"> In this poster, I will discuss about the various </w:t>
      </w:r>
      <w:r w:rsidRPr="007C1DB5">
        <w:rPr>
          <w:rFonts w:ascii="Times New Roman" w:hAnsi="Times New Roman" w:cs="Times New Roman"/>
          <w:sz w:val="24"/>
          <w:szCs w:val="24"/>
          <w:lang w:val="en-US"/>
        </w:rPr>
        <w:t xml:space="preserve">surgical and non-surgical applications of MTA and cases performed by MTA such as </w:t>
      </w:r>
      <w:proofErr w:type="spellStart"/>
      <w:r w:rsidRPr="007C1DB5">
        <w:rPr>
          <w:rFonts w:ascii="Times New Roman" w:hAnsi="Times New Roman" w:cs="Times New Roman"/>
          <w:sz w:val="24"/>
          <w:szCs w:val="24"/>
          <w:lang w:val="en-US"/>
        </w:rPr>
        <w:t>furcal</w:t>
      </w:r>
      <w:proofErr w:type="spellEnd"/>
      <w:r w:rsidRPr="007C1DB5">
        <w:rPr>
          <w:rFonts w:ascii="Times New Roman" w:hAnsi="Times New Roman" w:cs="Times New Roman"/>
          <w:sz w:val="24"/>
          <w:szCs w:val="24"/>
          <w:lang w:val="en-US"/>
        </w:rPr>
        <w:t xml:space="preserve"> perforation repair, direct pulp capping, surgical root repair (</w:t>
      </w:r>
      <w:proofErr w:type="spellStart"/>
      <w:r w:rsidRPr="007C1DB5">
        <w:rPr>
          <w:rFonts w:ascii="Times New Roman" w:hAnsi="Times New Roman" w:cs="Times New Roman"/>
          <w:sz w:val="24"/>
          <w:szCs w:val="24"/>
          <w:lang w:val="en-US"/>
        </w:rPr>
        <w:t>apicoectomy</w:t>
      </w:r>
      <w:proofErr w:type="spellEnd"/>
      <w:r w:rsidRPr="007C1DB5">
        <w:rPr>
          <w:rFonts w:ascii="Times New Roman" w:hAnsi="Times New Roman" w:cs="Times New Roman"/>
          <w:sz w:val="24"/>
          <w:szCs w:val="24"/>
          <w:lang w:val="en-US"/>
        </w:rPr>
        <w:t xml:space="preserve">) along with PRF placement, </w:t>
      </w:r>
      <w:proofErr w:type="spellStart"/>
      <w:r w:rsidRPr="007C1DB5">
        <w:rPr>
          <w:rFonts w:ascii="Times New Roman" w:hAnsi="Times New Roman" w:cs="Times New Roman"/>
          <w:sz w:val="24"/>
          <w:szCs w:val="24"/>
          <w:lang w:val="en-US"/>
        </w:rPr>
        <w:t>apexification</w:t>
      </w:r>
      <w:proofErr w:type="spellEnd"/>
      <w:r w:rsidRPr="007C1DB5">
        <w:rPr>
          <w:rFonts w:ascii="Times New Roman" w:hAnsi="Times New Roman" w:cs="Times New Roman"/>
          <w:sz w:val="24"/>
          <w:szCs w:val="24"/>
          <w:lang w:val="en-US"/>
        </w:rPr>
        <w:t xml:space="preserve">, healing of large </w:t>
      </w:r>
      <w:proofErr w:type="spellStart"/>
      <w:r w:rsidRPr="007C1DB5">
        <w:rPr>
          <w:rFonts w:ascii="Times New Roman" w:hAnsi="Times New Roman" w:cs="Times New Roman"/>
          <w:sz w:val="24"/>
          <w:szCs w:val="24"/>
          <w:lang w:val="en-US"/>
        </w:rPr>
        <w:t>periapical</w:t>
      </w:r>
      <w:proofErr w:type="spellEnd"/>
      <w:r w:rsidRPr="007C1DB5">
        <w:rPr>
          <w:rFonts w:ascii="Times New Roman" w:hAnsi="Times New Roman" w:cs="Times New Roman"/>
          <w:sz w:val="24"/>
          <w:szCs w:val="24"/>
          <w:lang w:val="en-US"/>
        </w:rPr>
        <w:t xml:space="preserve"> lesion, horizontal </w:t>
      </w:r>
      <w:r w:rsidR="00650E89">
        <w:rPr>
          <w:rFonts w:ascii="Times New Roman" w:hAnsi="Times New Roman" w:cs="Times New Roman"/>
          <w:sz w:val="24"/>
          <w:szCs w:val="24"/>
          <w:lang w:val="en-US"/>
        </w:rPr>
        <w:t xml:space="preserve">root </w:t>
      </w:r>
      <w:r w:rsidRPr="007C1DB5">
        <w:rPr>
          <w:rFonts w:ascii="Times New Roman" w:hAnsi="Times New Roman" w:cs="Times New Roman"/>
          <w:sz w:val="24"/>
          <w:szCs w:val="24"/>
          <w:lang w:val="en-US"/>
        </w:rPr>
        <w:t xml:space="preserve">fracture treatment and in the management of dens </w:t>
      </w:r>
      <w:proofErr w:type="spellStart"/>
      <w:r w:rsidRPr="007C1DB5">
        <w:rPr>
          <w:rFonts w:ascii="Times New Roman" w:hAnsi="Times New Roman" w:cs="Times New Roman"/>
          <w:sz w:val="24"/>
          <w:szCs w:val="24"/>
          <w:lang w:val="en-US"/>
        </w:rPr>
        <w:t>invaginatus</w:t>
      </w:r>
      <w:proofErr w:type="spellEnd"/>
      <w:r w:rsidRPr="007C1DB5">
        <w:rPr>
          <w:rFonts w:ascii="Times New Roman" w:hAnsi="Times New Roman" w:cs="Times New Roman"/>
          <w:sz w:val="24"/>
          <w:szCs w:val="24"/>
          <w:lang w:val="en-US"/>
        </w:rPr>
        <w:t>.</w:t>
      </w:r>
    </w:p>
    <w:p w:rsidR="00966F06" w:rsidRPr="007C1DB5" w:rsidRDefault="00966F06" w:rsidP="007C1DB5">
      <w:pPr>
        <w:spacing w:line="360" w:lineRule="auto"/>
        <w:jc w:val="both"/>
        <w:rPr>
          <w:rFonts w:ascii="Times New Roman" w:hAnsi="Times New Roman" w:cs="Times New Roman"/>
          <w:sz w:val="24"/>
          <w:szCs w:val="24"/>
          <w:lang w:val="en-US"/>
        </w:rPr>
      </w:pPr>
    </w:p>
    <w:p w:rsidR="00966F06" w:rsidRPr="007C1DB5" w:rsidRDefault="00966F06" w:rsidP="007C1DB5">
      <w:pPr>
        <w:spacing w:line="360" w:lineRule="auto"/>
        <w:ind w:right="-1414"/>
        <w:jc w:val="both"/>
        <w:rPr>
          <w:rFonts w:ascii="Times New Roman" w:hAnsi="Times New Roman" w:cs="Times New Roman"/>
          <w:sz w:val="24"/>
          <w:szCs w:val="24"/>
          <w:lang w:val="en-US"/>
        </w:rPr>
      </w:pPr>
      <w:r w:rsidRPr="007C1DB5">
        <w:rPr>
          <w:rFonts w:ascii="Times New Roman" w:hAnsi="Times New Roman" w:cs="Times New Roman"/>
          <w:sz w:val="24"/>
          <w:szCs w:val="24"/>
          <w:lang w:val="en-US"/>
        </w:rPr>
        <w:t xml:space="preserve">Presenter:  Dr. </w:t>
      </w:r>
      <w:bookmarkStart w:id="0" w:name="_GoBack"/>
      <w:bookmarkEnd w:id="0"/>
      <w:proofErr w:type="spellStart"/>
      <w:r w:rsidRPr="007C1DB5">
        <w:rPr>
          <w:rFonts w:ascii="Times New Roman" w:hAnsi="Times New Roman" w:cs="Times New Roman"/>
          <w:sz w:val="24"/>
          <w:szCs w:val="24"/>
          <w:lang w:val="en-US"/>
        </w:rPr>
        <w:t>Amit</w:t>
      </w:r>
      <w:proofErr w:type="spellEnd"/>
      <w:r w:rsidRPr="007C1DB5">
        <w:rPr>
          <w:rFonts w:ascii="Times New Roman" w:hAnsi="Times New Roman" w:cs="Times New Roman"/>
          <w:sz w:val="24"/>
          <w:szCs w:val="24"/>
          <w:lang w:val="en-US"/>
        </w:rPr>
        <w:t xml:space="preserve"> Gandhi</w:t>
      </w:r>
    </w:p>
    <w:p w:rsidR="00966F06" w:rsidRPr="007C1DB5" w:rsidRDefault="00966F06" w:rsidP="007C1DB5">
      <w:pPr>
        <w:spacing w:line="360" w:lineRule="auto"/>
        <w:jc w:val="both"/>
        <w:rPr>
          <w:rFonts w:ascii="Times New Roman" w:hAnsi="Times New Roman" w:cs="Times New Roman"/>
          <w:sz w:val="24"/>
          <w:szCs w:val="24"/>
          <w:lang w:val="en-US"/>
        </w:rPr>
      </w:pPr>
      <w:r w:rsidRPr="007C1DB5">
        <w:rPr>
          <w:rFonts w:ascii="Times New Roman" w:hAnsi="Times New Roman" w:cs="Times New Roman"/>
        </w:rPr>
        <w:t xml:space="preserve">PDM Dental College, </w:t>
      </w:r>
      <w:proofErr w:type="spellStart"/>
      <w:r w:rsidRPr="007C1DB5">
        <w:rPr>
          <w:rFonts w:ascii="Times New Roman" w:hAnsi="Times New Roman" w:cs="Times New Roman"/>
        </w:rPr>
        <w:t>Sarai</w:t>
      </w:r>
      <w:proofErr w:type="spellEnd"/>
      <w:r w:rsidRPr="007C1DB5">
        <w:rPr>
          <w:rFonts w:ascii="Times New Roman" w:hAnsi="Times New Roman" w:cs="Times New Roman"/>
        </w:rPr>
        <w:t xml:space="preserve"> Aurangabad, </w:t>
      </w:r>
      <w:proofErr w:type="spellStart"/>
      <w:proofErr w:type="gramStart"/>
      <w:r w:rsidRPr="007C1DB5">
        <w:rPr>
          <w:rFonts w:ascii="Times New Roman" w:hAnsi="Times New Roman" w:cs="Times New Roman"/>
        </w:rPr>
        <w:t>Bahadurgarh</w:t>
      </w:r>
      <w:proofErr w:type="spellEnd"/>
      <w:r w:rsidRPr="007C1DB5">
        <w:rPr>
          <w:rFonts w:ascii="Times New Roman" w:hAnsi="Times New Roman" w:cs="Times New Roman"/>
        </w:rPr>
        <w:t xml:space="preserve"> ,</w:t>
      </w:r>
      <w:proofErr w:type="gramEnd"/>
      <w:r w:rsidRPr="007C1DB5">
        <w:rPr>
          <w:rFonts w:ascii="Times New Roman" w:hAnsi="Times New Roman" w:cs="Times New Roman"/>
        </w:rPr>
        <w:t xml:space="preserve"> Haryana, 124507</w:t>
      </w:r>
    </w:p>
    <w:p w:rsidR="00AD7DA4" w:rsidRPr="007C1DB5" w:rsidRDefault="00AD7DA4" w:rsidP="007C1DB5">
      <w:pPr>
        <w:spacing w:line="360" w:lineRule="auto"/>
        <w:jc w:val="both"/>
        <w:rPr>
          <w:rFonts w:ascii="Times New Roman" w:hAnsi="Times New Roman" w:cs="Times New Roman"/>
        </w:rPr>
      </w:pPr>
    </w:p>
    <w:sectPr w:rsidR="00AD7DA4" w:rsidRPr="007C1DB5" w:rsidSect="009727A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oNotDisplayPageBoundaries/>
  <w:proofState w:spelling="clean" w:grammar="clean"/>
  <w:defaultTabStop w:val="720"/>
  <w:characterSpacingControl w:val="doNotCompress"/>
  <w:compat/>
  <w:rsids>
    <w:rsidRoot w:val="00966F06"/>
    <w:rsid w:val="00650E89"/>
    <w:rsid w:val="007C1DB5"/>
    <w:rsid w:val="008D6A93"/>
    <w:rsid w:val="00966F06"/>
    <w:rsid w:val="00AD7D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F06"/>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2018-07-25T11:19:00Z</dcterms:created>
  <dcterms:modified xsi:type="dcterms:W3CDTF">2018-07-25T11:23:00Z</dcterms:modified>
</cp:coreProperties>
</file>