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xmlns:wp14="http://schemas.microsoft.com/office/word/2010/wordml" w:rsidR="00AE3E37" w:rsidP="4625B9CB" w:rsidRDefault="00A9710C" w14:paraId="128C2F41" wp14:textId="0D0A8469">
      <w:pPr>
        <w:spacing w:before="170"/>
        <w:ind/>
        <w:jc w:val="both"/>
      </w:pPr>
      <w:r w:rsidRPr="0922707F" w:rsidR="0922707F">
        <w:rPr>
          <w:rFonts w:ascii="Arial" w:hAnsi="Arial" w:eastAsia="Arial" w:cs="Arial"/>
          <w:b w:val="1"/>
          <w:bCs w:val="1"/>
          <w:noProof w:val="0"/>
          <w:color w:val="000000" w:themeColor="text1" w:themeTint="FF" w:themeShade="FF"/>
          <w:sz w:val="24"/>
          <w:szCs w:val="24"/>
          <w:lang w:val="en-US"/>
        </w:rPr>
        <w:t>ACTIVE TACTILE SENSIBILITY OF BRÅNEMARK PROTOCOL PROSTHESES: A DOUBLE-BLIND RANDOMIZED CLINICAL STUDY</w:t>
      </w:r>
    </w:p>
    <w:p xmlns:wp14="http://schemas.microsoft.com/office/word/2010/wordml" w:rsidR="00AE3E37" w:rsidP="0922707F" w:rsidRDefault="00AE3E37" w14:paraId="5DAB6C7B" wp14:textId="0C69FC6B">
      <w:pPr>
        <w:pStyle w:val="BodyText"/>
        <w:bidi w:val="0"/>
        <w:spacing w:before="73" w:beforeAutospacing="off" w:after="0" w:afterAutospacing="off" w:line="240" w:lineRule="exact"/>
        <w:ind w:left="0" w:right="1080"/>
        <w:jc w:val="left"/>
        <w:rPr>
          <w:rFonts w:ascii="Tw Cen MT" w:hAnsi="Tw Cen MT" w:eastAsia="Tw Cen MT" w:cs="Tw Cen MT"/>
          <w:noProof/>
          <w:color w:val="202124"/>
          <w:sz w:val="20"/>
          <w:szCs w:val="20"/>
          <w:lang w:val="en"/>
        </w:rPr>
      </w:pPr>
      <w:r w:rsidRPr="0922707F" w:rsidR="0922707F">
        <w:rPr>
          <w:rFonts w:ascii="Arial"/>
        </w:rPr>
        <w:t xml:space="preserve">Nathalia B. Moraes </w:t>
      </w:r>
      <w:r w:rsidRPr="0922707F" w:rsidR="0922707F">
        <w:rPr>
          <w:rFonts w:ascii="Tw Cen MT" w:hAnsi="Tw Cen MT" w:eastAsia="Tw Cen MT" w:cs="Tw Cen MT"/>
          <w:noProof/>
          <w:color w:val="202124"/>
          <w:sz w:val="20"/>
          <w:szCs w:val="20"/>
          <w:lang w:val="en"/>
        </w:rPr>
        <w:t xml:space="preserve">specialist in Dental Prosthodontics and Oral Implantology </w:t>
      </w:r>
      <w:r w:rsidRPr="0922707F" w:rsidR="0922707F">
        <w:rPr>
          <w:rFonts w:ascii="Tw Cen MT" w:hAnsi="Tw Cen MT" w:eastAsia="Tw Cen MT" w:cs="Tw Cen MT"/>
          <w:noProof/>
          <w:color w:val="202124"/>
          <w:sz w:val="19"/>
          <w:szCs w:val="19"/>
          <w:lang w:val="en"/>
        </w:rPr>
        <w:t xml:space="preserve"> Master of Science in Dental Clinic </w:t>
      </w:r>
    </w:p>
    <w:p w:rsidR="0922707F" w:rsidP="0922707F" w:rsidRDefault="0922707F" w14:paraId="62EC220D" w14:textId="75B311ED">
      <w:pPr>
        <w:pStyle w:val="BodyText"/>
        <w:bidi w:val="0"/>
        <w:spacing w:before="73" w:beforeAutospacing="off" w:after="0" w:afterAutospacing="off" w:line="240" w:lineRule="exact"/>
        <w:ind w:left="0" w:right="1080"/>
        <w:jc w:val="left"/>
        <w:rPr>
          <w:rFonts w:ascii="Tw Cen MT" w:hAnsi="Tw Cen MT" w:eastAsia="Tw Cen MT" w:cs="Tw Cen MT"/>
          <w:noProof/>
          <w:color w:val="202124"/>
          <w:sz w:val="19"/>
          <w:szCs w:val="19"/>
          <w:lang w:val="en"/>
        </w:rPr>
      </w:pPr>
      <w:r w:rsidRPr="0922707F" w:rsidR="0922707F">
        <w:rPr>
          <w:rFonts w:ascii="Tw Cen MT" w:hAnsi="Tw Cen MT" w:eastAsia="Tw Cen MT" w:cs="Tw Cen MT"/>
          <w:noProof/>
          <w:color w:val="202124"/>
          <w:sz w:val="19"/>
          <w:szCs w:val="19"/>
          <w:lang w:val="en"/>
        </w:rPr>
        <w:t xml:space="preserve">Eduardo Moraes, Tiago Anastacio, Licínio SIlva, Aldir Machado, José Schoichet, Raphael Monte Alto, Rafael Mello-Machado, Angelo Cardarelli, Carlos Fernando de Almeida Barros Mourão, Priscila Casado and Georgio Romanos. </w:t>
      </w:r>
    </w:p>
    <w:p w:rsidR="0922707F" w:rsidP="0922707F" w:rsidRDefault="0922707F" w14:paraId="346B738E" w14:textId="6EC665A9">
      <w:pPr>
        <w:pStyle w:val="BodyText"/>
        <w:bidi w:val="0"/>
        <w:spacing w:before="73" w:beforeAutospacing="off" w:after="0" w:afterAutospacing="off" w:line="240" w:lineRule="exact"/>
        <w:ind w:left="0" w:right="1080"/>
        <w:jc w:val="left"/>
        <w:rPr>
          <w:rFonts w:ascii="Tw Cen MT" w:hAnsi="Tw Cen MT" w:eastAsia="Tw Cen MT" w:cs="Tw Cen MT"/>
          <w:noProof/>
          <w:color w:val="202124"/>
          <w:sz w:val="19"/>
          <w:szCs w:val="19"/>
          <w:lang w:val="en"/>
        </w:rPr>
        <w:sectPr w:rsidR="00AE3E37">
          <w:headerReference w:type="default" r:id="rId8"/>
          <w:footerReference w:type="default" r:id="rId9"/>
          <w:type w:val="continuous"/>
          <w:pgSz w:w="11910" w:h="16840" w:orient="portrait"/>
          <w:pgMar w:top="1740" w:right="600" w:bottom="840" w:left="620" w:header="541" w:footer="642" w:gutter="0"/>
          <w:cols w:space="720"/>
        </w:sectPr>
      </w:pPr>
    </w:p>
    <w:p w:rsidR="31504937" w:rsidP="4625B9CB" w:rsidRDefault="31504937" w14:paraId="4FCFD566" w14:textId="784B4EC3">
      <w:pPr>
        <w:pStyle w:val="Heading3"/>
        <w:spacing w:before="147"/>
        <w:ind w:left="0"/>
        <w:jc w:val="both"/>
        <w:rPr>
          <w:color w:val="BF5A14"/>
        </w:rPr>
      </w:pPr>
      <w:r w:rsidRPr="4625B9CB" w:rsidR="4625B9CB">
        <w:rPr>
          <w:color w:val="BF5A14"/>
        </w:rPr>
        <w:t>Abstract</w:t>
      </w:r>
    </w:p>
    <w:p w:rsidR="31504937" w:rsidP="4625B9CB" w:rsidRDefault="31504937" w14:paraId="31A6F575" w14:textId="744C4AD7">
      <w:pPr>
        <w:pStyle w:val="Normal"/>
        <w:ind w:firstLine="708"/>
        <w:jc w:val="both"/>
      </w:pPr>
      <w:r w:rsidRPr="4625B9CB" w:rsidR="4625B9CB">
        <w:rPr>
          <w:rFonts w:ascii="Calibri" w:hAnsi="Calibri" w:eastAsia="Calibri" w:cs="Calibri" w:asciiTheme="minorAscii" w:hAnsiTheme="minorAscii" w:eastAsiaTheme="minorAscii" w:cstheme="minorAscii"/>
          <w:sz w:val="24"/>
          <w:szCs w:val="24"/>
        </w:rPr>
        <w:t>Statement of the Problem:</w:t>
      </w:r>
      <w:r w:rsidRPr="4625B9CB" w:rsidR="4625B9CB">
        <w:rPr>
          <w:rFonts w:ascii="Calibri" w:hAnsi="Calibri" w:eastAsia="Calibri" w:cs="Calibri" w:asciiTheme="minorAscii" w:hAnsiTheme="minorAscii" w:eastAsiaTheme="minorAscii" w:cstheme="minorAscii"/>
          <w:noProof w:val="0"/>
          <w:color w:val="000000" w:themeColor="text1" w:themeTint="FF" w:themeShade="FF"/>
          <w:sz w:val="28"/>
          <w:szCs w:val="28"/>
          <w:lang w:val="en-US"/>
        </w:rPr>
        <w:t xml:space="preserve"> </w:t>
      </w:r>
      <w:r w:rsidRPr="4625B9CB" w:rsidR="4625B9CB">
        <w:rPr>
          <w:rFonts w:ascii="Calibri" w:hAnsi="Calibri" w:eastAsia="Calibri" w:cs="Calibri" w:asciiTheme="minorAscii" w:hAnsiTheme="minorAscii" w:eastAsiaTheme="minorAscii" w:cstheme="minorAscii"/>
          <w:noProof w:val="0"/>
          <w:color w:val="000000" w:themeColor="text1" w:themeTint="FF" w:themeShade="FF"/>
          <w:sz w:val="28"/>
          <w:szCs w:val="28"/>
          <w:lang w:val="en-US"/>
        </w:rPr>
        <w:t xml:space="preserve"> </w:t>
      </w:r>
      <w:r w:rsidRPr="4625B9CB" w:rsidR="4625B9CB">
        <w:rPr>
          <w:rFonts w:ascii="Arial" w:hAnsi="Arial" w:eastAsia="Arial" w:cs="Arial"/>
          <w:noProof w:val="0"/>
          <w:color w:val="000000" w:themeColor="text1" w:themeTint="FF" w:themeShade="FF"/>
          <w:sz w:val="24"/>
          <w:szCs w:val="24"/>
          <w:lang w:val="en-US"/>
        </w:rPr>
        <w:t xml:space="preserve">The absence of periodontal ligament around the implants can lead to a biomechanical and neurophysiological deficit when compared to natural dentition. Therefore, the aim of this study was to evaluate active tactile sensitivity in patients rehabilitated with </w:t>
      </w:r>
      <w:proofErr w:type="spellStart"/>
      <w:r w:rsidRPr="4625B9CB" w:rsidR="4625B9CB">
        <w:rPr>
          <w:rFonts w:ascii="Arial" w:hAnsi="Arial" w:eastAsia="Arial" w:cs="Arial"/>
          <w:noProof w:val="0"/>
          <w:color w:val="000000" w:themeColor="text1" w:themeTint="FF" w:themeShade="FF"/>
          <w:sz w:val="24"/>
          <w:szCs w:val="24"/>
          <w:lang w:val="en-US"/>
        </w:rPr>
        <w:t>Brånemark</w:t>
      </w:r>
      <w:proofErr w:type="spellEnd"/>
      <w:r w:rsidRPr="4625B9CB" w:rsidR="4625B9CB">
        <w:rPr>
          <w:rFonts w:ascii="Arial" w:hAnsi="Arial" w:eastAsia="Arial" w:cs="Arial"/>
          <w:noProof w:val="0"/>
          <w:color w:val="000000" w:themeColor="text1" w:themeTint="FF" w:themeShade="FF"/>
          <w:sz w:val="24"/>
          <w:szCs w:val="24"/>
          <w:lang w:val="en-US"/>
        </w:rPr>
        <w:t>-type fixed prostheses that occlude on total mucosa-supported prosthesis.</w:t>
      </w:r>
    </w:p>
    <w:p w:rsidR="31504937" w:rsidP="4625B9CB" w:rsidRDefault="31504937" w14:paraId="5A17A86B" w14:textId="0556ABBA">
      <w:pPr>
        <w:pStyle w:val="Normal"/>
        <w:ind w:firstLine="708"/>
        <w:jc w:val="both"/>
      </w:pPr>
      <w:r w:rsidRPr="4625B9CB" w:rsidR="4625B9CB">
        <w:rPr>
          <w:rFonts w:ascii="Arial" w:hAnsi="Arial" w:eastAsia="Arial" w:cs="Arial"/>
          <w:noProof w:val="0"/>
          <w:sz w:val="22"/>
          <w:szCs w:val="22"/>
          <w:lang w:val="en-US"/>
        </w:rPr>
        <w:t xml:space="preserve">Methodology &amp; Theoretical Orientation: </w:t>
      </w:r>
      <w:r w:rsidRPr="4625B9CB" w:rsidR="4625B9CB">
        <w:rPr>
          <w:rFonts w:ascii="Arial" w:hAnsi="Arial" w:eastAsia="Arial" w:cs="Arial"/>
          <w:noProof w:val="0"/>
          <w:color w:val="000000" w:themeColor="text1" w:themeTint="FF" w:themeShade="FF"/>
          <w:sz w:val="24"/>
          <w:szCs w:val="24"/>
          <w:lang w:val="en-US"/>
        </w:rPr>
        <w:t xml:space="preserve">Thirty-five volunteers participated in this study. The inclusion criteria in the experimental group (n = 18) were as follows: </w:t>
      </w:r>
      <w:proofErr w:type="spellStart"/>
      <w:r w:rsidRPr="4625B9CB" w:rsidR="4625B9CB">
        <w:rPr>
          <w:rFonts w:ascii="Arial" w:hAnsi="Arial" w:eastAsia="Arial" w:cs="Arial"/>
          <w:noProof w:val="0"/>
          <w:color w:val="000000" w:themeColor="text1" w:themeTint="FF" w:themeShade="FF"/>
          <w:sz w:val="24"/>
          <w:szCs w:val="24"/>
          <w:lang w:val="en-US"/>
        </w:rPr>
        <w:t>Brånemark</w:t>
      </w:r>
      <w:proofErr w:type="spellEnd"/>
      <w:r w:rsidRPr="4625B9CB" w:rsidR="4625B9CB">
        <w:rPr>
          <w:rFonts w:ascii="Arial" w:hAnsi="Arial" w:eastAsia="Arial" w:cs="Arial"/>
          <w:noProof w:val="0"/>
          <w:color w:val="000000" w:themeColor="text1" w:themeTint="FF" w:themeShade="FF"/>
          <w:sz w:val="24"/>
          <w:szCs w:val="24"/>
          <w:lang w:val="en-US"/>
        </w:rPr>
        <w:t xml:space="preserve">-type complete prosthesis and total mucosa-supported maxillary prosthesis. The control group (n = 17) was composed of participants who presented healthy complete dentition. To assess threshold of active oral tactile sensitivity, carbon articulating foils with different thicknesses (12μm, 24μm, 40μm, 80μm and 200 </w:t>
      </w:r>
      <w:proofErr w:type="spellStart"/>
      <w:r w:rsidRPr="4625B9CB" w:rsidR="4625B9CB">
        <w:rPr>
          <w:rFonts w:ascii="Arial" w:hAnsi="Arial" w:eastAsia="Arial" w:cs="Arial"/>
          <w:noProof w:val="0"/>
          <w:color w:val="000000" w:themeColor="text1" w:themeTint="FF" w:themeShade="FF"/>
          <w:sz w:val="24"/>
          <w:szCs w:val="24"/>
          <w:lang w:val="en-US"/>
        </w:rPr>
        <w:t>μm</w:t>
      </w:r>
      <w:proofErr w:type="spellEnd"/>
      <w:r w:rsidRPr="4625B9CB" w:rsidR="4625B9CB">
        <w:rPr>
          <w:rFonts w:ascii="Arial" w:hAnsi="Arial" w:eastAsia="Arial" w:cs="Arial"/>
          <w:noProof w:val="0"/>
          <w:color w:val="000000" w:themeColor="text1" w:themeTint="FF" w:themeShade="FF"/>
          <w:sz w:val="24"/>
          <w:szCs w:val="24"/>
          <w:lang w:val="en-US"/>
        </w:rPr>
        <w:t>) were placed in the premolar region. A total of 120 tests were performed per participant, 60 on the right side and 60 on the left side. The determination of the threshold of active tactile sensitivity was based on the 50% of correct responses level.</w:t>
      </w:r>
    </w:p>
    <w:p w:rsidR="31504937" w:rsidP="4625B9CB" w:rsidRDefault="31504937" w14:paraId="40D57F0F" w14:textId="12E405DF">
      <w:pPr>
        <w:ind/>
        <w:jc w:val="both"/>
      </w:pPr>
      <w:r w:rsidRPr="4625B9CB" w:rsidR="4625B9CB">
        <w:rPr>
          <w:rFonts w:ascii="Arial" w:hAnsi="Arial" w:eastAsia="Arial" w:cs="Arial"/>
          <w:noProof w:val="0"/>
          <w:sz w:val="24"/>
          <w:szCs w:val="24"/>
          <w:lang w:val="en-US"/>
        </w:rPr>
        <w:t xml:space="preserve">Findings: </w:t>
      </w:r>
      <w:r w:rsidRPr="4625B9CB" w:rsidR="4625B9CB">
        <w:rPr>
          <w:rFonts w:ascii="Arial" w:hAnsi="Arial" w:eastAsia="Arial" w:cs="Arial"/>
          <w:noProof w:val="0"/>
          <w:color w:val="000000" w:themeColor="text1" w:themeTint="FF" w:themeShade="FF"/>
          <w:sz w:val="24"/>
          <w:szCs w:val="24"/>
          <w:lang w:val="en-US"/>
        </w:rPr>
        <w:t xml:space="preserve"> When comparing the two groups, a statistically significant difference (p &lt;0.05) was found between the degree of sensitivity for all thicknesses, except for thickness of 12 </w:t>
      </w:r>
      <w:proofErr w:type="spellStart"/>
      <w:r w:rsidRPr="4625B9CB" w:rsidR="4625B9CB">
        <w:rPr>
          <w:rFonts w:ascii="Arial" w:hAnsi="Arial" w:eastAsia="Arial" w:cs="Arial"/>
          <w:noProof w:val="0"/>
          <w:color w:val="000000" w:themeColor="text1" w:themeTint="FF" w:themeShade="FF"/>
          <w:sz w:val="24"/>
          <w:szCs w:val="24"/>
          <w:lang w:val="en-US"/>
        </w:rPr>
        <w:t>μm</w:t>
      </w:r>
      <w:proofErr w:type="spellEnd"/>
      <w:r w:rsidRPr="4625B9CB" w:rsidR="4625B9CB">
        <w:rPr>
          <w:rFonts w:ascii="Arial" w:hAnsi="Arial" w:eastAsia="Arial" w:cs="Arial"/>
          <w:noProof w:val="0"/>
          <w:color w:val="000000" w:themeColor="text1" w:themeTint="FF" w:themeShade="FF"/>
          <w:sz w:val="24"/>
          <w:szCs w:val="24"/>
          <w:lang w:val="en-US"/>
        </w:rPr>
        <w:t>, both on the right and left sides. There was a greater increase in perception, on both sides, in the Control Group, as the carbon thickness increased in comparison with the Experimental Group. Tactile sensitivity threshold was 2.5 times greater for participants with prostheses than for those with complete natural dentition.</w:t>
      </w:r>
    </w:p>
    <w:p w:rsidR="31504937" w:rsidP="31504937" w:rsidRDefault="31504937" w14:paraId="23C289AC" w14:textId="3B1DEC49">
      <w:pPr>
        <w:ind w:firstLine="720"/>
        <w:jc w:val="both"/>
      </w:pPr>
      <w:r w:rsidRPr="4625B9CB" w:rsidR="4625B9CB">
        <w:rPr>
          <w:rFonts w:ascii="Arial" w:hAnsi="Arial" w:eastAsia="Arial" w:cs="Arial"/>
          <w:noProof w:val="0"/>
          <w:sz w:val="24"/>
          <w:szCs w:val="24"/>
          <w:lang w:val="en-US"/>
        </w:rPr>
        <w:t>Conclusion &amp; Significance</w:t>
      </w:r>
      <w:r w:rsidRPr="4625B9CB" w:rsidR="4625B9CB">
        <w:rPr>
          <w:rFonts w:ascii="Arial" w:hAnsi="Arial" w:eastAsia="Arial" w:cs="Arial"/>
          <w:noProof w:val="0"/>
          <w:color w:val="000000" w:themeColor="text1" w:themeTint="FF" w:themeShade="FF"/>
          <w:sz w:val="24"/>
          <w:szCs w:val="24"/>
          <w:lang w:val="en-US"/>
        </w:rPr>
        <w:t xml:space="preserve">: There is a difference between the active tactile sensitivity of patients who have been rehabilitated with </w:t>
      </w:r>
      <w:proofErr w:type="spellStart"/>
      <w:r w:rsidRPr="4625B9CB" w:rsidR="4625B9CB">
        <w:rPr>
          <w:rFonts w:ascii="Arial" w:hAnsi="Arial" w:eastAsia="Arial" w:cs="Arial"/>
          <w:noProof w:val="0"/>
          <w:color w:val="000000" w:themeColor="text1" w:themeTint="FF" w:themeShade="FF"/>
          <w:sz w:val="24"/>
          <w:szCs w:val="24"/>
          <w:lang w:val="en-US"/>
        </w:rPr>
        <w:t>Brånemark</w:t>
      </w:r>
      <w:proofErr w:type="spellEnd"/>
      <w:r w:rsidRPr="4625B9CB" w:rsidR="4625B9CB">
        <w:rPr>
          <w:rFonts w:ascii="Arial" w:hAnsi="Arial" w:eastAsia="Arial" w:cs="Arial"/>
          <w:noProof w:val="0"/>
          <w:color w:val="000000" w:themeColor="text1" w:themeTint="FF" w:themeShade="FF"/>
          <w:sz w:val="24"/>
          <w:szCs w:val="24"/>
          <w:lang w:val="en-US"/>
        </w:rPr>
        <w:t xml:space="preserve">-protocol prosthesis and patients with complete natural dentition; tactile sensitivity for patients with maxillary mucosa-supported prosthesis and mandibular implant-supported prosthesis is significantly lower than dentate patients, which was detected above the thickness of 80 </w:t>
      </w:r>
      <w:proofErr w:type="spellStart"/>
      <w:r w:rsidRPr="4625B9CB" w:rsidR="4625B9CB">
        <w:rPr>
          <w:rFonts w:ascii="Arial" w:hAnsi="Arial" w:eastAsia="Arial" w:cs="Arial"/>
          <w:noProof w:val="0"/>
          <w:color w:val="000000" w:themeColor="text1" w:themeTint="FF" w:themeShade="FF"/>
          <w:sz w:val="24"/>
          <w:szCs w:val="24"/>
          <w:lang w:val="en-US"/>
        </w:rPr>
        <w:t>μm</w:t>
      </w:r>
      <w:proofErr w:type="spellEnd"/>
      <w:r w:rsidRPr="4625B9CB" w:rsidR="4625B9CB">
        <w:rPr>
          <w:rFonts w:ascii="Arial" w:hAnsi="Arial" w:eastAsia="Arial" w:cs="Arial"/>
          <w:noProof w:val="0"/>
          <w:color w:val="000000" w:themeColor="text1" w:themeTint="FF" w:themeShade="FF"/>
          <w:sz w:val="24"/>
          <w:szCs w:val="24"/>
          <w:lang w:val="en-US"/>
        </w:rPr>
        <w:t xml:space="preserve">; in patients with natural dentition different thicknesses were significantly detected from 24 </w:t>
      </w:r>
      <w:proofErr w:type="spellStart"/>
      <w:r w:rsidRPr="4625B9CB" w:rsidR="4625B9CB">
        <w:rPr>
          <w:rFonts w:ascii="Arial" w:hAnsi="Arial" w:eastAsia="Arial" w:cs="Arial"/>
          <w:noProof w:val="0"/>
          <w:color w:val="000000" w:themeColor="text1" w:themeTint="FF" w:themeShade="FF"/>
          <w:sz w:val="24"/>
          <w:szCs w:val="24"/>
          <w:lang w:val="en-US"/>
        </w:rPr>
        <w:t>μm</w:t>
      </w:r>
      <w:proofErr w:type="spellEnd"/>
      <w:r w:rsidRPr="4625B9CB" w:rsidR="4625B9CB">
        <w:rPr>
          <w:rFonts w:ascii="Arial" w:hAnsi="Arial" w:eastAsia="Arial" w:cs="Arial"/>
          <w:noProof w:val="0"/>
          <w:color w:val="000000" w:themeColor="text1" w:themeTint="FF" w:themeShade="FF"/>
          <w:sz w:val="24"/>
          <w:szCs w:val="24"/>
          <w:lang w:val="en-US"/>
        </w:rPr>
        <w:t>.</w:t>
      </w:r>
    </w:p>
    <w:p w:rsidR="31504937" w:rsidP="31504937" w:rsidRDefault="31504937" w14:paraId="30311EF1" w14:textId="11C0CC3D">
      <w:pPr>
        <w:pStyle w:val="Heading3"/>
        <w:spacing w:before="147"/>
        <w:jc w:val="both"/>
      </w:pPr>
      <w:r>
        <w:br/>
      </w:r>
    </w:p>
    <w:p xmlns:wp14="http://schemas.microsoft.com/office/word/2010/wordml" w:rsidR="005973B9" w:rsidP="4625B9CB" w:rsidRDefault="005973B9" w14:paraId="208C901E" wp14:textId="45F647A7">
      <w:pPr>
        <w:spacing w:line="204" w:lineRule="exact"/>
        <w:rPr>
          <w:rFonts w:ascii="Arial"/>
          <w:b w:val="1"/>
          <w:bCs w:val="1"/>
          <w:sz w:val="20"/>
          <w:szCs w:val="20"/>
        </w:rPr>
      </w:pPr>
      <w:r>
        <w:br/>
      </w:r>
      <w:r w:rsidRPr="4625B9CB" w:rsidR="4625B9CB">
        <w:rPr>
          <w:rFonts w:ascii="Arial"/>
          <w:b w:val="1"/>
          <w:bCs w:val="1"/>
          <w:color w:val="BF5A14"/>
          <w:sz w:val="20"/>
          <w:szCs w:val="20"/>
        </w:rPr>
        <w:t xml:space="preserve">Recent Publications </w:t>
      </w:r>
    </w:p>
    <w:p w:rsidR="4625B9CB" w:rsidP="4625B9CB" w:rsidRDefault="4625B9CB" w14:paraId="3E27B43A" w14:textId="6D95DFC3">
      <w:pPr>
        <w:pStyle w:val="ListParagraph"/>
        <w:numPr>
          <w:ilvl w:val="0"/>
          <w:numId w:val="3"/>
        </w:numPr>
        <w:tabs>
          <w:tab w:val="left" w:leader="none" w:pos="384"/>
        </w:tabs>
        <w:spacing w:before="103" w:line="216" w:lineRule="exact"/>
        <w:ind w:right="138" w:hanging="283"/>
        <w:rPr>
          <w:sz w:val="18"/>
          <w:szCs w:val="18"/>
        </w:rPr>
      </w:pPr>
      <w:r w:rsidRPr="4625B9CB" w:rsidR="4625B9C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BATISTA, M.; BONACHELA, W.; SOARES, J. Progressive recovery of </w:t>
      </w:r>
      <w:proofErr w:type="spellStart"/>
      <w:r w:rsidRPr="4625B9CB" w:rsidR="4625B9C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osseoperception</w:t>
      </w:r>
      <w:proofErr w:type="spellEnd"/>
      <w:r w:rsidRPr="4625B9CB" w:rsidR="4625B9C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as a function of the combination of implant-supported prostheses. Clin Oral Implants Res n.6, v.19, 2008.</w:t>
      </w:r>
    </w:p>
    <w:p w:rsidR="4625B9CB" w:rsidP="4625B9CB" w:rsidRDefault="4625B9CB" w14:paraId="65A1F813" w14:textId="3EA2BE63">
      <w:pPr>
        <w:pStyle w:val="ListParagraph"/>
        <w:numPr>
          <w:ilvl w:val="0"/>
          <w:numId w:val="3"/>
        </w:numPr>
        <w:tabs>
          <w:tab w:val="left" w:leader="none" w:pos="384"/>
        </w:tabs>
        <w:spacing w:before="103" w:line="216" w:lineRule="exact"/>
        <w:ind w:right="138" w:hanging="283"/>
        <w:rPr>
          <w:sz w:val="18"/>
          <w:szCs w:val="18"/>
        </w:rPr>
      </w:pPr>
      <w:r w:rsidRPr="4625B9CB" w:rsidR="4625B9C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ENKLING, N.; UTZ, K.H.; BAYER, S. et al </w:t>
      </w:r>
      <w:proofErr w:type="spellStart"/>
      <w:r w:rsidRPr="4625B9CB" w:rsidR="4625B9C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Osseoperception</w:t>
      </w:r>
      <w:proofErr w:type="spellEnd"/>
      <w:r w:rsidRPr="4625B9CB" w:rsidR="4625B9C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active tactile sensibility of </w:t>
      </w:r>
      <w:proofErr w:type="spellStart"/>
      <w:r w:rsidRPr="4625B9CB" w:rsidR="4625B9C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osseointegrated</w:t>
      </w:r>
      <w:proofErr w:type="spellEnd"/>
      <w:r w:rsidRPr="4625B9CB" w:rsidR="4625B9C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dental implants Int J Oral </w:t>
      </w:r>
      <w:proofErr w:type="spellStart"/>
      <w:r w:rsidRPr="4625B9CB" w:rsidR="4625B9C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Maxillofac</w:t>
      </w:r>
      <w:proofErr w:type="spellEnd"/>
      <w:r w:rsidRPr="4625B9CB" w:rsidR="4625B9C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Implants v 25 n 6, p.1159-67, 2010.</w:t>
      </w:r>
    </w:p>
    <w:p w:rsidR="4625B9CB" w:rsidP="4625B9CB" w:rsidRDefault="4625B9CB" w14:paraId="31D9CD7D" w14:textId="1B0911CF">
      <w:pPr>
        <w:pStyle w:val="ListParagraph"/>
        <w:numPr>
          <w:ilvl w:val="0"/>
          <w:numId w:val="3"/>
        </w:numPr>
        <w:tabs>
          <w:tab w:val="left" w:leader="none" w:pos="384"/>
        </w:tabs>
        <w:spacing w:before="103" w:line="216" w:lineRule="exact"/>
        <w:ind w:right="138" w:hanging="283"/>
        <w:rPr>
          <w:sz w:val="18"/>
          <w:szCs w:val="18"/>
        </w:rPr>
      </w:pPr>
      <w:r w:rsidRPr="4625B9CB" w:rsidR="4625B9C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BHATNAGAR, V.M.; KARANI, J.T.; KHANNA, A.; et al </w:t>
      </w:r>
      <w:proofErr w:type="spellStart"/>
      <w:r w:rsidRPr="4625B9CB" w:rsidR="4625B9C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Osseoperception</w:t>
      </w:r>
      <w:proofErr w:type="spellEnd"/>
      <w:r w:rsidRPr="4625B9CB" w:rsidR="4625B9CB">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An implant mediated sensory motor control – a review. J Clin Diagn Res v.9 n.9 p. ZE18-ZE20, 2015.</w:t>
      </w:r>
    </w:p>
    <w:p w:rsidR="4625B9CB" w:rsidP="4625B9CB" w:rsidRDefault="4625B9CB" w14:paraId="19E85122" w14:textId="378EFBA7">
      <w:pPr>
        <w:pStyle w:val="ListParagraph"/>
        <w:numPr>
          <w:ilvl w:val="0"/>
          <w:numId w:val="3"/>
        </w:numPr>
        <w:tabs>
          <w:tab w:val="left" w:leader="none" w:pos="384"/>
        </w:tabs>
        <w:spacing w:before="103" w:line="216" w:lineRule="exact"/>
        <w:ind w:right="138" w:hanging="283"/>
        <w:rPr>
          <w:noProof w:val="0"/>
          <w:color w:val="212121"/>
          <w:sz w:val="24"/>
          <w:szCs w:val="24"/>
          <w:lang w:val="en-US"/>
        </w:rPr>
      </w:pPr>
      <w:r w:rsidRPr="4625B9CB" w:rsidR="4625B9CB">
        <w:rPr>
          <w:rFonts w:ascii="Calibri" w:hAnsi="Calibri" w:eastAsia="Calibri" w:cs="Calibri" w:asciiTheme="minorAscii" w:hAnsiTheme="minorAscii" w:eastAsiaTheme="minorAscii" w:cstheme="minorAscii"/>
          <w:noProof w:val="0"/>
          <w:color w:val="212121"/>
          <w:sz w:val="22"/>
          <w:szCs w:val="22"/>
          <w:lang w:val="en-US"/>
        </w:rPr>
        <w:t xml:space="preserve">Moraes N, Moraes E, Anastacio T, Silva L, Machado A, </w:t>
      </w:r>
      <w:proofErr w:type="spellStart"/>
      <w:r w:rsidRPr="4625B9CB" w:rsidR="4625B9CB">
        <w:rPr>
          <w:rFonts w:ascii="Calibri" w:hAnsi="Calibri" w:eastAsia="Calibri" w:cs="Calibri" w:asciiTheme="minorAscii" w:hAnsiTheme="minorAscii" w:eastAsiaTheme="minorAscii" w:cstheme="minorAscii"/>
          <w:noProof w:val="0"/>
          <w:color w:val="212121"/>
          <w:sz w:val="22"/>
          <w:szCs w:val="22"/>
          <w:lang w:val="en-US"/>
        </w:rPr>
        <w:t>Schoichet</w:t>
      </w:r>
      <w:proofErr w:type="spellEnd"/>
      <w:r w:rsidRPr="4625B9CB" w:rsidR="4625B9CB">
        <w:rPr>
          <w:rFonts w:ascii="Calibri" w:hAnsi="Calibri" w:eastAsia="Calibri" w:cs="Calibri" w:asciiTheme="minorAscii" w:hAnsiTheme="minorAscii" w:eastAsiaTheme="minorAscii" w:cstheme="minorAscii"/>
          <w:noProof w:val="0"/>
          <w:color w:val="212121"/>
          <w:sz w:val="22"/>
          <w:szCs w:val="22"/>
          <w:lang w:val="en-US"/>
        </w:rPr>
        <w:t xml:space="preserve"> J, Alto RM, Mello-Machado R, Cardarelli A, Mourão CFAB, Casado P, Romanos G. Active Tactile Sensibility of </w:t>
      </w:r>
      <w:proofErr w:type="spellStart"/>
      <w:r w:rsidRPr="4625B9CB" w:rsidR="4625B9CB">
        <w:rPr>
          <w:rFonts w:ascii="Calibri" w:hAnsi="Calibri" w:eastAsia="Calibri" w:cs="Calibri" w:asciiTheme="minorAscii" w:hAnsiTheme="minorAscii" w:eastAsiaTheme="minorAscii" w:cstheme="minorAscii"/>
          <w:noProof w:val="0"/>
          <w:color w:val="212121"/>
          <w:sz w:val="22"/>
          <w:szCs w:val="22"/>
          <w:lang w:val="en-US"/>
        </w:rPr>
        <w:t>Brånemark</w:t>
      </w:r>
      <w:proofErr w:type="spellEnd"/>
      <w:r w:rsidRPr="4625B9CB" w:rsidR="4625B9CB">
        <w:rPr>
          <w:rFonts w:ascii="Calibri" w:hAnsi="Calibri" w:eastAsia="Calibri" w:cs="Calibri" w:asciiTheme="minorAscii" w:hAnsiTheme="minorAscii" w:eastAsiaTheme="minorAscii" w:cstheme="minorAscii"/>
          <w:noProof w:val="0"/>
          <w:color w:val="212121"/>
          <w:sz w:val="22"/>
          <w:szCs w:val="22"/>
          <w:lang w:val="en-US"/>
        </w:rPr>
        <w:t xml:space="preserve"> Protocol Prostheses: A Case-Control Clinical Study. Materials (Basel). 2021 Aug 18;14(16):4644. </w:t>
      </w:r>
    </w:p>
    <w:p w:rsidR="4625B9CB" w:rsidP="4625B9CB" w:rsidRDefault="4625B9CB" w14:paraId="2DFEE0FF" w14:textId="77E28CD6">
      <w:pPr>
        <w:pStyle w:val="ListParagraph"/>
        <w:numPr>
          <w:ilvl w:val="0"/>
          <w:numId w:val="3"/>
        </w:numPr>
        <w:tabs>
          <w:tab w:val="left" w:leader="none" w:pos="384"/>
        </w:tabs>
        <w:spacing w:before="103" w:line="216" w:lineRule="exact"/>
        <w:ind w:right="138" w:hanging="283"/>
        <w:rPr>
          <w:noProof w:val="0"/>
          <w:color w:val="212121"/>
          <w:lang w:val="en-US"/>
        </w:rPr>
      </w:pPr>
      <w:proofErr w:type="spellStart"/>
      <w:r w:rsidRPr="4625B9CB" w:rsidR="4625B9CB">
        <w:rPr>
          <w:rFonts w:ascii="Calibri" w:hAnsi="Calibri" w:eastAsia="Calibri" w:cs="Calibri" w:asciiTheme="minorAscii" w:hAnsiTheme="minorAscii" w:eastAsiaTheme="minorAscii" w:cstheme="minorAscii"/>
          <w:noProof w:val="0"/>
          <w:color w:val="212121"/>
          <w:sz w:val="22"/>
          <w:szCs w:val="22"/>
          <w:lang w:val="en-US"/>
        </w:rPr>
        <w:t>Negahdari</w:t>
      </w:r>
      <w:proofErr w:type="spellEnd"/>
      <w:r w:rsidRPr="4625B9CB" w:rsidR="4625B9CB">
        <w:rPr>
          <w:rFonts w:ascii="Calibri" w:hAnsi="Calibri" w:eastAsia="Calibri" w:cs="Calibri" w:asciiTheme="minorAscii" w:hAnsiTheme="minorAscii" w:eastAsiaTheme="minorAscii" w:cstheme="minorAscii"/>
          <w:noProof w:val="0"/>
          <w:color w:val="212121"/>
          <w:sz w:val="22"/>
          <w:szCs w:val="22"/>
          <w:lang w:val="en-US"/>
        </w:rPr>
        <w:t xml:space="preserve"> R, </w:t>
      </w:r>
      <w:proofErr w:type="spellStart"/>
      <w:r w:rsidRPr="4625B9CB" w:rsidR="4625B9CB">
        <w:rPr>
          <w:rFonts w:ascii="Calibri" w:hAnsi="Calibri" w:eastAsia="Calibri" w:cs="Calibri" w:asciiTheme="minorAscii" w:hAnsiTheme="minorAscii" w:eastAsiaTheme="minorAscii" w:cstheme="minorAscii"/>
          <w:noProof w:val="0"/>
          <w:color w:val="212121"/>
          <w:sz w:val="22"/>
          <w:szCs w:val="22"/>
          <w:lang w:val="en-US"/>
        </w:rPr>
        <w:t>Ghavimi</w:t>
      </w:r>
      <w:proofErr w:type="spellEnd"/>
      <w:r w:rsidRPr="4625B9CB" w:rsidR="4625B9CB">
        <w:rPr>
          <w:rFonts w:ascii="Calibri" w:hAnsi="Calibri" w:eastAsia="Calibri" w:cs="Calibri" w:asciiTheme="minorAscii" w:hAnsiTheme="minorAscii" w:eastAsiaTheme="minorAscii" w:cstheme="minorAscii"/>
          <w:noProof w:val="0"/>
          <w:color w:val="212121"/>
          <w:sz w:val="22"/>
          <w:szCs w:val="22"/>
          <w:lang w:val="en-US"/>
        </w:rPr>
        <w:t xml:space="preserve"> M, </w:t>
      </w:r>
      <w:proofErr w:type="spellStart"/>
      <w:r w:rsidRPr="4625B9CB" w:rsidR="4625B9CB">
        <w:rPr>
          <w:rFonts w:ascii="Calibri" w:hAnsi="Calibri" w:eastAsia="Calibri" w:cs="Calibri" w:asciiTheme="minorAscii" w:hAnsiTheme="minorAscii" w:eastAsiaTheme="minorAscii" w:cstheme="minorAscii"/>
          <w:noProof w:val="0"/>
          <w:color w:val="212121"/>
          <w:sz w:val="22"/>
          <w:szCs w:val="22"/>
          <w:lang w:val="en-US"/>
        </w:rPr>
        <w:t>Ghanizadeh</w:t>
      </w:r>
      <w:proofErr w:type="spellEnd"/>
      <w:r w:rsidRPr="4625B9CB" w:rsidR="4625B9CB">
        <w:rPr>
          <w:rFonts w:ascii="Calibri" w:hAnsi="Calibri" w:eastAsia="Calibri" w:cs="Calibri" w:asciiTheme="minorAscii" w:hAnsiTheme="minorAscii" w:eastAsiaTheme="minorAscii" w:cstheme="minorAscii"/>
          <w:noProof w:val="0"/>
          <w:color w:val="212121"/>
          <w:sz w:val="22"/>
          <w:szCs w:val="22"/>
          <w:lang w:val="en-US"/>
        </w:rPr>
        <w:t xml:space="preserve"> M, </w:t>
      </w:r>
      <w:proofErr w:type="spellStart"/>
      <w:r w:rsidRPr="4625B9CB" w:rsidR="4625B9CB">
        <w:rPr>
          <w:rFonts w:ascii="Calibri" w:hAnsi="Calibri" w:eastAsia="Calibri" w:cs="Calibri" w:asciiTheme="minorAscii" w:hAnsiTheme="minorAscii" w:eastAsiaTheme="minorAscii" w:cstheme="minorAscii"/>
          <w:noProof w:val="0"/>
          <w:color w:val="212121"/>
          <w:sz w:val="22"/>
          <w:szCs w:val="22"/>
          <w:lang w:val="en-US"/>
        </w:rPr>
        <w:t>Bohlouli</w:t>
      </w:r>
      <w:proofErr w:type="spellEnd"/>
      <w:r w:rsidRPr="4625B9CB" w:rsidR="4625B9CB">
        <w:rPr>
          <w:rFonts w:ascii="Calibri" w:hAnsi="Calibri" w:eastAsia="Calibri" w:cs="Calibri" w:asciiTheme="minorAscii" w:hAnsiTheme="minorAscii" w:eastAsiaTheme="minorAscii" w:cstheme="minorAscii"/>
          <w:noProof w:val="0"/>
          <w:color w:val="212121"/>
          <w:sz w:val="22"/>
          <w:szCs w:val="22"/>
          <w:lang w:val="en-US"/>
        </w:rPr>
        <w:t xml:space="preserve"> S. Active tactile sensibility of three-unit implant-supported FPDs versus natural dentition. J Clin Exp Dent. 2019 Jul 1;11(7</w:t>
      </w:r>
      <w:proofErr w:type="gramStart"/>
      <w:r w:rsidRPr="4625B9CB" w:rsidR="4625B9CB">
        <w:rPr>
          <w:rFonts w:ascii="Calibri" w:hAnsi="Calibri" w:eastAsia="Calibri" w:cs="Calibri" w:asciiTheme="minorAscii" w:hAnsiTheme="minorAscii" w:eastAsiaTheme="minorAscii" w:cstheme="minorAscii"/>
          <w:noProof w:val="0"/>
          <w:color w:val="212121"/>
          <w:sz w:val="22"/>
          <w:szCs w:val="22"/>
          <w:lang w:val="en-US"/>
        </w:rPr>
        <w:t>):e</w:t>
      </w:r>
      <w:proofErr w:type="gramEnd"/>
      <w:r w:rsidRPr="4625B9CB" w:rsidR="4625B9CB">
        <w:rPr>
          <w:rFonts w:ascii="Calibri" w:hAnsi="Calibri" w:eastAsia="Calibri" w:cs="Calibri" w:asciiTheme="minorAscii" w:hAnsiTheme="minorAscii" w:eastAsiaTheme="minorAscii" w:cstheme="minorAscii"/>
          <w:noProof w:val="0"/>
          <w:color w:val="212121"/>
          <w:sz w:val="22"/>
          <w:szCs w:val="22"/>
          <w:lang w:val="en-US"/>
        </w:rPr>
        <w:t>636-e641.</w:t>
      </w:r>
    </w:p>
    <w:p w:rsidR="4625B9CB" w:rsidP="4625B9CB" w:rsidRDefault="4625B9CB" w14:paraId="0B8B58BE" w14:textId="7BEC5007">
      <w:pPr>
        <w:pStyle w:val="ListParagraph"/>
        <w:numPr>
          <w:ilvl w:val="0"/>
          <w:numId w:val="3"/>
        </w:numPr>
        <w:tabs>
          <w:tab w:val="left" w:leader="none" w:pos="384"/>
        </w:tabs>
        <w:spacing w:before="103" w:line="216" w:lineRule="exact"/>
        <w:ind w:right="138" w:hanging="283"/>
        <w:rPr>
          <w:noProof w:val="0"/>
          <w:color w:val="212121"/>
          <w:sz w:val="24"/>
          <w:szCs w:val="24"/>
          <w:lang w:val="en-US"/>
        </w:rPr>
        <w:sectPr w:rsidR="00AE3E37">
          <w:type w:val="continuous"/>
          <w:pgSz w:w="11910" w:h="16840" w:orient="portrait"/>
          <w:pgMar w:top="1740" w:right="600" w:bottom="840" w:left="620" w:header="720" w:footer="720" w:gutter="0"/>
          <w:cols w:equalWidth="0" w:space="720" w:num="2">
            <w:col w:w="5214" w:space="138"/>
            <w:col w:w="5338"/>
          </w:cols>
        </w:sectPr>
      </w:pPr>
      <w:r w:rsidRPr="4625B9CB" w:rsidR="4625B9CB">
        <w:rPr>
          <w:rFonts w:ascii="Calibri" w:hAnsi="Calibri" w:eastAsia="Calibri" w:cs="Calibri" w:asciiTheme="minorAscii" w:hAnsiTheme="minorAscii" w:eastAsiaTheme="minorAscii" w:cstheme="minorAscii"/>
          <w:noProof w:val="0"/>
          <w:color w:val="212121"/>
          <w:sz w:val="22"/>
          <w:szCs w:val="22"/>
          <w:lang w:val="en-US"/>
        </w:rPr>
        <w:t xml:space="preserve">Kazemi M, </w:t>
      </w:r>
      <w:proofErr w:type="spellStart"/>
      <w:r w:rsidRPr="4625B9CB" w:rsidR="4625B9CB">
        <w:rPr>
          <w:rFonts w:ascii="Calibri" w:hAnsi="Calibri" w:eastAsia="Calibri" w:cs="Calibri" w:asciiTheme="minorAscii" w:hAnsiTheme="minorAscii" w:eastAsiaTheme="minorAscii" w:cstheme="minorAscii"/>
          <w:noProof w:val="0"/>
          <w:color w:val="212121"/>
          <w:sz w:val="22"/>
          <w:szCs w:val="22"/>
          <w:lang w:val="en-US"/>
        </w:rPr>
        <w:t>Geramipanah</w:t>
      </w:r>
      <w:proofErr w:type="spellEnd"/>
      <w:r w:rsidRPr="4625B9CB" w:rsidR="4625B9CB">
        <w:rPr>
          <w:rFonts w:ascii="Calibri" w:hAnsi="Calibri" w:eastAsia="Calibri" w:cs="Calibri" w:asciiTheme="minorAscii" w:hAnsiTheme="minorAscii" w:eastAsiaTheme="minorAscii" w:cstheme="minorAscii"/>
          <w:noProof w:val="0"/>
          <w:color w:val="212121"/>
          <w:sz w:val="22"/>
          <w:szCs w:val="22"/>
          <w:lang w:val="en-US"/>
        </w:rPr>
        <w:t xml:space="preserve"> F, </w:t>
      </w:r>
      <w:proofErr w:type="spellStart"/>
      <w:r w:rsidRPr="4625B9CB" w:rsidR="4625B9CB">
        <w:rPr>
          <w:rFonts w:ascii="Calibri" w:hAnsi="Calibri" w:eastAsia="Calibri" w:cs="Calibri" w:asciiTheme="minorAscii" w:hAnsiTheme="minorAscii" w:eastAsiaTheme="minorAscii" w:cstheme="minorAscii"/>
          <w:noProof w:val="0"/>
          <w:color w:val="212121"/>
          <w:sz w:val="22"/>
          <w:szCs w:val="22"/>
          <w:lang w:val="en-US"/>
        </w:rPr>
        <w:t>Negahdari</w:t>
      </w:r>
      <w:proofErr w:type="spellEnd"/>
      <w:r w:rsidRPr="4625B9CB" w:rsidR="4625B9CB">
        <w:rPr>
          <w:rFonts w:ascii="Calibri" w:hAnsi="Calibri" w:eastAsia="Calibri" w:cs="Calibri" w:asciiTheme="minorAscii" w:hAnsiTheme="minorAscii" w:eastAsiaTheme="minorAscii" w:cstheme="minorAscii"/>
          <w:noProof w:val="0"/>
          <w:color w:val="212121"/>
          <w:sz w:val="22"/>
          <w:szCs w:val="22"/>
          <w:lang w:val="en-US"/>
        </w:rPr>
        <w:t xml:space="preserve"> R, Rakhshan V. Active tactile sensibility of single-tooth implants versus natural dentition: a split-mouth double-blind randomized clinical trial. Clin Implant Dent </w:t>
      </w:r>
      <w:proofErr w:type="spellStart"/>
      <w:r w:rsidRPr="4625B9CB" w:rsidR="4625B9CB">
        <w:rPr>
          <w:rFonts w:ascii="Calibri" w:hAnsi="Calibri" w:eastAsia="Calibri" w:cs="Calibri" w:asciiTheme="minorAscii" w:hAnsiTheme="minorAscii" w:eastAsiaTheme="minorAscii" w:cstheme="minorAscii"/>
          <w:noProof w:val="0"/>
          <w:color w:val="212121"/>
          <w:sz w:val="22"/>
          <w:szCs w:val="22"/>
          <w:lang w:val="en-US"/>
        </w:rPr>
        <w:t>Relat</w:t>
      </w:r>
      <w:proofErr w:type="spellEnd"/>
      <w:r w:rsidRPr="4625B9CB" w:rsidR="4625B9CB">
        <w:rPr>
          <w:rFonts w:ascii="Calibri" w:hAnsi="Calibri" w:eastAsia="Calibri" w:cs="Calibri" w:asciiTheme="minorAscii" w:hAnsiTheme="minorAscii" w:eastAsiaTheme="minorAscii" w:cstheme="minorAscii"/>
          <w:noProof w:val="0"/>
          <w:color w:val="212121"/>
          <w:sz w:val="22"/>
          <w:szCs w:val="22"/>
          <w:lang w:val="en-US"/>
        </w:rPr>
        <w:t xml:space="preserve"> Res. 2014 Dec;16(6):947-55.  </w:t>
      </w:r>
    </w:p>
    <w:p xmlns:wp14="http://schemas.microsoft.com/office/word/2010/wordml" w:rsidR="00AE3E37" w:rsidP="0922707F" w:rsidRDefault="00292ED9" wp14:textId="77777777" w14:paraId="1D1ABC09">
      <w:pPr>
        <w:pStyle w:val="BodyText"/>
        <w:spacing w:line="40" w:lineRule="exact"/>
        <w:ind/>
        <w:jc w:val="center"/>
        <w:rPr>
          <w:rFonts w:ascii="Calibri"/>
          <w:sz w:val="4"/>
          <w:szCs w:val="4"/>
        </w:rPr>
      </w:pPr>
      <w:r>
        <w:rPr>
          <w:rFonts w:ascii="Calibri"/>
          <w:noProof/>
          <w:sz w:val="4"/>
          <w:lang w:val="en-IN" w:eastAsia="en-IN"/>
        </w:rPr>
        <mc:AlternateContent>
          <mc:Choice Requires="wpg">
            <w:drawing>
              <wp:inline xmlns:wp14="http://schemas.microsoft.com/office/word/2010/wordprocessingDrawing" distT="0" distB="0" distL="0" distR="0" wp14:anchorId="0557603F" wp14:editId="777777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w14:anchorId="18186638">
              <v:group id="Group 4" style="width:313.05pt;height:2pt;mso-position-horizontal-relative:char;mso-position-vertical-relative:line" coordsize="6261,40"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style="position:absolute;visibility:visible;mso-wrap-style:square" o:spid="_x0000_s1027" strokecolor="#004080" strokeweight="2pt" o:connectortype="straight" from="20,20" to="6241,2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w10:anchorlock/>
              </v:group>
            </w:pict>
          </mc:Fallback>
        </mc:AlternateContent>
      </w:r>
    </w:p>
    <w:p xmlns:wp14="http://schemas.microsoft.com/office/word/2010/wordml" w:rsidR="00AE3E37" w:rsidP="0922707F" w:rsidRDefault="00292ED9" w14:paraId="5E9E7EEF" wp14:textId="3F5A2456">
      <w:pPr>
        <w:pStyle w:val="Normal"/>
        <w:spacing w:before="92" w:line="40" w:lineRule="exact"/>
        <w:ind w:right="4234"/>
        <w:rPr>
          <w:noProof/>
        </w:rPr>
      </w:pPr>
    </w:p>
    <w:p xmlns:wp14="http://schemas.microsoft.com/office/word/2010/wordml" w:rsidR="00AE3E37" w:rsidP="0922707F" w:rsidRDefault="00292ED9" w14:paraId="1CF14C7E" wp14:textId="5FC4C6DD">
      <w:pPr>
        <w:pStyle w:val="Normal"/>
        <w:spacing w:before="92" w:line="40" w:lineRule="exact"/>
        <w:ind w:right="4234"/>
        <w:rPr>
          <w:rFonts w:ascii="Tw Cen MT" w:hAnsi="Tw Cen MT" w:eastAsia="Tw Cen MT" w:cs="Tw Cen MT"/>
          <w:noProof/>
          <w:color w:val="202124"/>
          <w:sz w:val="20"/>
          <w:szCs w:val="20"/>
          <w:lang w:val="en"/>
        </w:rPr>
      </w:pPr>
      <w:r>
        <w:drawing>
          <wp:inline xmlns:wp14="http://schemas.microsoft.com/office/word/2010/wordprocessingDrawing" wp14:editId="02F74197" wp14:anchorId="550B3F56">
            <wp:extent cx="1162332" cy="1080000"/>
            <wp:effectExtent l="0" t="0" r="0" b="0"/>
            <wp:docPr id="93228292" name="" title=""/>
            <wp:cNvGraphicFramePr>
              <a:graphicFrameLocks noChangeAspect="1"/>
            </wp:cNvGraphicFramePr>
            <a:graphic>
              <a:graphicData uri="http://schemas.openxmlformats.org/drawingml/2006/picture">
                <pic:pic>
                  <pic:nvPicPr>
                    <pic:cNvPr id="0" name=""/>
                    <pic:cNvPicPr/>
                  </pic:nvPicPr>
                  <pic:blipFill>
                    <a:blip r:embed="R5b25697354574ae6">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162332" cy="1080000"/>
                    </a:xfrm>
                    <a:prstGeom xmlns:a="http://schemas.openxmlformats.org/drawingml/2006/main" prst="rect">
                      <a:avLst/>
                    </a:prstGeom>
                  </pic:spPr>
                </pic:pic>
              </a:graphicData>
            </a:graphic>
          </wp:inline>
        </w:drawing>
      </w:r>
    </w:p>
    <w:p xmlns:wp14="http://schemas.microsoft.com/office/word/2010/wordml" w:rsidR="002A196B" w:rsidP="0922707F" w:rsidRDefault="002A196B" w14:paraId="4D4A3D38" wp14:textId="0BA105CC">
      <w:pPr>
        <w:pStyle w:val="Normal"/>
        <w:spacing w:before="92"/>
        <w:ind w:left="0" w:right="0" w:hanging="0"/>
        <w:jc w:val="both"/>
        <w:rPr>
          <w:rFonts w:ascii="Arial"/>
          <w:color w:val="BF5A14"/>
        </w:rPr>
      </w:pPr>
      <w:r w:rsidRPr="25B8DC5A" w:rsidR="25B8DC5A">
        <w:rPr>
          <w:noProof/>
          <w:sz w:val="20"/>
          <w:szCs w:val="20"/>
        </w:rPr>
        <w:t xml:space="preserve"> </w:t>
      </w:r>
      <w:r w:rsidRPr="25B8DC5A" w:rsidR="25B8DC5A">
        <w:rPr>
          <w:noProof/>
          <w:sz w:val="20"/>
          <w:szCs w:val="20"/>
        </w:rPr>
        <w:t xml:space="preserve"> </w:t>
      </w:r>
      <w:r>
        <w:tab/>
      </w:r>
      <w:r w:rsidRPr="25B8DC5A" w:rsidR="25B8DC5A">
        <w:rPr>
          <w:noProof/>
          <w:sz w:val="20"/>
          <w:szCs w:val="20"/>
        </w:rPr>
        <w:t xml:space="preserve">Nathalia Moraes has a degree </w:t>
      </w:r>
      <w:r w:rsidRPr="25B8DC5A" w:rsidR="25B8DC5A">
        <w:rPr>
          <w:rFonts w:ascii="Tw Cen MT" w:hAnsi="Tw Cen MT" w:eastAsia="Tw Cen MT" w:cs="Tw Cen MT"/>
          <w:noProof/>
          <w:color w:val="202124"/>
          <w:sz w:val="20"/>
          <w:szCs w:val="20"/>
          <w:lang w:val="en"/>
        </w:rPr>
        <w:t xml:space="preserve">in Dentistry (2008) and is specialized in Dental Prosthodontics (2010) and Oral Implantology  (2014) as well as having a</w:t>
      </w:r>
      <w:r w:rsidRPr="0922707F" w:rsidR="0922707F">
        <w:rPr>
          <w:rFonts w:ascii="Tw Cen MT" w:hAnsi="Tw Cen MT" w:eastAsia="Tw Cen MT" w:cs="Tw Cen MT"/>
          <w:noProof/>
          <w:color w:val="202124"/>
          <w:sz w:val="19"/>
          <w:szCs w:val="19"/>
          <w:lang w:val="en"/>
        </w:rPr>
        <w:t xml:space="preserve"> Master of Science in Dental Clinic in the field of Oral Rehabilitation (2017)</w:t>
      </w:r>
      <w:r w:rsidRPr="25B8DC5A" w:rsidR="25B8DC5A">
        <w:rPr>
          <w:rFonts w:ascii="Tw Cen MT" w:hAnsi="Tw Cen MT" w:eastAsia="Tw Cen MT" w:cs="Tw Cen MT"/>
          <w:noProof/>
          <w:color w:val="202124"/>
          <w:sz w:val="20"/>
          <w:szCs w:val="20"/>
          <w:lang w:val="en"/>
        </w:rPr>
        <w:t xml:space="preserve">. She practices oral rehabilitation and </w:t>
      </w:r>
      <w:r w:rsidRPr="337BDFBC" w:rsidR="337BDFBC">
        <w:rPr>
          <w:rFonts w:ascii="Tw Cen MT" w:hAnsi="Tw Cen MT" w:eastAsia="Tw Cen MT" w:cs="Tw Cen MT"/>
          <w:noProof/>
          <w:color w:val="202124"/>
          <w:sz w:val="20"/>
          <w:szCs w:val="20"/>
          <w:lang w:val="en"/>
        </w:rPr>
        <w:t xml:space="preserve">implantology </w:t>
      </w:r>
      <w:r w:rsidRPr="0922707F" w:rsidR="0922707F">
        <w:rPr>
          <w:rFonts w:ascii="Tw Cen MT" w:hAnsi="Tw Cen MT" w:eastAsia="Tw Cen MT" w:cs="Tw Cen MT"/>
          <w:noProof/>
          <w:color w:val="202124"/>
          <w:sz w:val="19"/>
          <w:szCs w:val="19"/>
          <w:lang w:val="en"/>
        </w:rPr>
        <w:t>in a private clinic since 2009</w:t>
      </w:r>
      <w:r w:rsidRPr="337BDFBC" w:rsidR="337BDFBC">
        <w:rPr>
          <w:rFonts w:ascii="Tw Cen MT" w:hAnsi="Tw Cen MT" w:eastAsia="Tw Cen MT" w:cs="Tw Cen MT"/>
          <w:noProof/>
          <w:color w:val="202124"/>
          <w:sz w:val="20"/>
          <w:szCs w:val="20"/>
          <w:lang w:val="en"/>
        </w:rPr>
        <w:t>. Nowadays she works in the Brazilian Navy as a dentist focused in CADCAM rehabilitation the areas of Dental Prosthesis and Implantology serving at the Navy's Central Dental Clinic (OCM).</w:t>
      </w:r>
    </w:p>
    <w:p xmlns:wp14="http://schemas.microsoft.com/office/word/2010/wordml" w:rsidR="002A196B" w:rsidP="0922707F" w:rsidRDefault="002A196B" w14:paraId="7BBCD837" wp14:textId="27CF4905">
      <w:pPr>
        <w:pStyle w:val="Normal"/>
        <w:spacing w:before="92"/>
        <w:ind w:left="0" w:right="0" w:hanging="0"/>
        <w:jc w:val="both"/>
        <w:rPr>
          <w:rFonts w:ascii="Arial"/>
          <w:color w:val="BF5A14"/>
        </w:rPr>
      </w:pPr>
      <w:r w:rsidRPr="337BDFBC" w:rsidR="337BDFBC">
        <w:rPr>
          <w:rFonts w:ascii="Tw Cen MT" w:hAnsi="Tw Cen MT" w:eastAsia="Tw Cen MT" w:cs="Tw Cen MT"/>
          <w:noProof/>
          <w:color w:val="202124"/>
          <w:sz w:val="20"/>
          <w:szCs w:val="20"/>
          <w:lang w:val="en"/>
        </w:rPr>
        <w:t xml:space="preserve"> </w:t>
      </w:r>
      <w:r w:rsidRPr="0922707F" w:rsidR="0922707F">
        <w:rPr>
          <w:noProof/>
        </w:rPr>
        <w:t xml:space="preserve">   </w:t>
      </w:r>
    </w:p>
    <w:p xmlns:wp14="http://schemas.microsoft.com/office/word/2010/wordml" w:rsidR="00AE3E37" w:rsidP="0922707F" w:rsidRDefault="00292ED9" w14:paraId="0D0B940D" wp14:textId="0A1CB6EA">
      <w:pPr>
        <w:spacing w:before="41" w:line="154" w:lineRule="exact"/>
        <w:ind w:left="213" w:right="231"/>
        <w:jc w:val="center"/>
        <w:rPr>
          <w:rFonts w:ascii="Arial"/>
          <w:sz w:val="14"/>
          <w:szCs w:val="14"/>
        </w:rPr>
      </w:pPr>
      <w:r>
        <w:rPr>
          <w:noProof/>
          <w:lang w:val="en-IN" w:eastAsia="en-IN"/>
        </w:rPr>
        <mc:AlternateContent>
          <mc:Choice Requires="wps">
            <w:drawing>
              <wp:anchor xmlns:wp14="http://schemas.microsoft.com/office/word/2010/wordprocessingDrawing" distT="0" distB="0" distL="0" distR="0" simplePos="0" relativeHeight="1072" behindDoc="0" locked="0" layoutInCell="1" allowOverlap="1" wp14:anchorId="37B6617F" wp14:editId="777777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0F668854">
              <v:line id="Line 3"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004080" strokeweight=".5p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w10:wrap type="topAndBottom" anchorx="page"/>
              </v:line>
            </w:pict>
          </mc:Fallback>
        </mc:AlternateContent>
      </w:r>
      <w:r w:rsidRPr="0922707F" w:rsidR="0922707F">
        <w:rPr>
          <w:rFonts w:ascii="Arial"/>
          <w:sz w:val="14"/>
          <w:szCs w:val="14"/>
        </w:rPr>
        <w:t xml:space="preserve">Email: </w:t>
      </w:r>
      <w:r w:rsidRPr="0922707F" w:rsidR="0922707F">
        <w:rPr>
          <w:rFonts w:ascii="Arial"/>
          <w:color w:val="0070C0"/>
          <w:sz w:val="14"/>
          <w:szCs w:val="14"/>
          <w:u w:val="single"/>
        </w:rPr>
        <w:t>nathalia_bm@hotmail.com</w:t>
      </w:r>
    </w:p>
    <w:p xmlns:wp14="http://schemas.microsoft.com/office/word/2010/wordml" w:rsidRPr="00B21A57" w:rsidR="00AE3E37" w:rsidRDefault="00A9710C" w14:paraId="31B6EB41" wp14:textId="77777777">
      <w:pPr>
        <w:spacing w:before="39"/>
        <w:ind w:left="100"/>
        <w:rPr>
          <w:rFonts w:ascii="Minion Pro"/>
          <w:b/>
          <w:sz w:val="20"/>
        </w:rPr>
      </w:pPr>
      <w:r w:rsidRPr="00B21A57">
        <w:rPr>
          <w:rFonts w:ascii="Minion Pro"/>
          <w:b/>
          <w:sz w:val="20"/>
        </w:rPr>
        <w:t>Notes/Comments:</w:t>
      </w:r>
    </w:p>
    <w:p xmlns:wp14="http://schemas.microsoft.com/office/word/2010/wordml" w:rsidR="00AE3E37" w:rsidRDefault="00AE3E37" w14:paraId="0E27B00A" wp14:textId="77777777">
      <w:pPr>
        <w:rPr>
          <w:rFonts w:ascii="Minion Pro"/>
          <w:sz w:val="24"/>
        </w:rPr>
        <w:sectPr w:rsidR="00AE3E37">
          <w:type w:val="continuous"/>
          <w:pgSz w:w="11910" w:h="16840" w:orient="portrait"/>
          <w:pgMar w:top="1740" w:right="600" w:bottom="840" w:left="620" w:header="720" w:footer="720" w:gutter="0"/>
          <w:cols w:space="720"/>
        </w:sectPr>
      </w:pPr>
    </w:p>
    <w:p xmlns:wp14="http://schemas.microsoft.com/office/word/2010/wordml" w:rsidR="00AE3E37" w:rsidRDefault="00AE3E37" w14:paraId="60061E4C" wp14:textId="77777777">
      <w:pPr>
        <w:pStyle w:val="BodyText"/>
        <w:spacing w:before="3"/>
        <w:rPr>
          <w:rFonts w:ascii="Minion Pro"/>
          <w:sz w:val="26"/>
        </w:rPr>
      </w:pPr>
    </w:p>
    <w:sectPr w:rsidR="00AE3E37" w:rsidSect="00CD6F55">
      <w:type w:val="continuous"/>
      <w:pgSz w:w="11910" w:h="16840" w:orient="portrait"/>
      <w:pgMar w:top="1740" w:right="580" w:bottom="840" w:left="620" w:header="720" w:footer="720" w:gutter="0"/>
      <w:cols w:equalWidth="0" w:space="720" w:num="2">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xmlns:wp14="http://schemas.microsoft.com/office/word/2010/wordml" w:rsidR="00870DF9" w:rsidRDefault="00870DF9" w14:paraId="3DEEC669" wp14:textId="77777777">
      <w:r>
        <w:separator/>
      </w:r>
    </w:p>
  </w:endnote>
  <w:endnote w:type="continuationSeparator" w:id="0">
    <w:p xmlns:wp14="http://schemas.microsoft.com/office/word/2010/wordml" w:rsidR="00870DF9" w:rsidRDefault="00870DF9" w14:paraId="3656B9AB"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p14">
  <w:p xmlns:wp14="http://schemas.microsoft.com/office/word/2010/wordml" w:rsidR="00AE3E37" w:rsidRDefault="00292ED9" w14:paraId="58A23B95" wp14:textId="77777777">
    <w:pPr>
      <w:pStyle w:val="BodyText"/>
      <w:spacing w:line="14" w:lineRule="auto"/>
      <w:rPr>
        <w:sz w:val="20"/>
      </w:rPr>
    </w:pPr>
    <w:r>
      <w:rPr>
        <w:noProof/>
        <w:lang w:val="en-IN" w:eastAsia="en-IN"/>
      </w:rPr>
      <mc:AlternateContent>
        <mc:Choice Requires="wps">
          <w:drawing>
            <wp:anchor xmlns:wp14="http://schemas.microsoft.com/office/word/2010/wordprocessingDrawing" distT="0" distB="0" distL="114300" distR="114300" simplePos="0" relativeHeight="503311928" behindDoc="1" locked="0" layoutInCell="1" allowOverlap="1" wp14:anchorId="265900D0" wp14:editId="777777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5B3A56" w:rsidR="00AE3E37" w:rsidRDefault="00A9710C" w14:paraId="7E5AB4D7" wp14:textId="77777777">
                          <w:pPr>
                            <w:spacing w:line="184" w:lineRule="exact"/>
                            <w:ind w:left="20" w:right="-12"/>
                            <w:rPr>
                              <w:rFonts w:ascii="Arial"/>
                              <w:color w:val="FFFFFF" w:themeColor="background1"/>
                              <w:sz w:val="16"/>
                            </w:rPr>
                          </w:pPr>
                          <w:r w:rsidRPr="005B3A56">
                            <w:rPr>
                              <w:rFonts w:ascii="Arial"/>
                              <w:color w:val="FFFFFF" w:themeColor="background1"/>
                              <w:sz w:val="16"/>
                            </w:rPr>
                            <w:t>J Pain Relief</w:t>
                          </w:r>
                        </w:p>
                        <w:p xmlns:wp14="http://schemas.microsoft.com/office/word/2010/wordml" w:rsidRPr="005B3A56" w:rsidR="00AE3E37" w:rsidRDefault="00A9710C" w14:paraId="27823635" wp14:textId="7777777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5628F64D">
            <v:shapetype id="_x0000_t202" coordsize="21600,21600" o:spt="202" path="m,l,21600r21600,l21600,xe">
              <v:stroke joinstyle="miter"/>
              <v:path gradientshapeok="t" o:connecttype="rect"/>
            </v:shapetype>
            <v:shape id="Text Box 3"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v:textbox inset="0,0,0,0">
                <w:txbxContent>
                  <w:p w:rsidRPr="005B3A56" w:rsidR="00AE3E37" w:rsidRDefault="00A9710C" w14:paraId="5A0979DA" wp14:textId="7777777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Pr="005B3A56" w:rsidR="00AE3E37" w:rsidRDefault="00A9710C" w14:paraId="5B503581" wp14:textId="7777777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xmlns:wp14="http://schemas.microsoft.com/office/word/2010/wordprocessingDrawing" distT="0" distB="0" distL="114300" distR="114300" simplePos="0" relativeHeight="503311952" behindDoc="1" locked="0" layoutInCell="1" allowOverlap="1" wp14:anchorId="10CC1867" wp14:editId="777777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5B3A56" w:rsidR="00AE3E37" w:rsidRDefault="00A9710C" w14:paraId="0A176BC8" wp14:textId="77777777">
                          <w:pPr>
                            <w:spacing w:line="269" w:lineRule="exact"/>
                            <w:jc w:val="center"/>
                            <w:rPr>
                              <w:rFonts w:ascii="Impact"/>
                              <w:color w:val="FFFFFF" w:themeColor="background1"/>
                              <w:sz w:val="24"/>
                            </w:rPr>
                          </w:pPr>
                          <w:r w:rsidRPr="005B3A56">
                            <w:rPr>
                              <w:rFonts w:ascii="Impact"/>
                              <w:color w:val="FFFFFF" w:themeColor="background1"/>
                              <w:sz w:val="24"/>
                            </w:rPr>
                            <w:t>Fibromyalgia 2016</w:t>
                          </w:r>
                        </w:p>
                        <w:p xmlns:wp14="http://schemas.microsoft.com/office/word/2010/wordml" w:rsidRPr="005B3A56" w:rsidR="00AE3E37" w:rsidRDefault="00A9710C" w14:paraId="1929A082" wp14:textId="7777777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1E18476D">
            <v:shape id="Text Box 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v:textbox inset="0,0,0,0">
                <w:txbxContent>
                  <w:p w:rsidRPr="005B3A56" w:rsidR="00AE3E37" w:rsidRDefault="00A9710C" w14:paraId="4D5BF078" wp14:textId="7777777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Pr="005B3A56" w:rsidR="00AE3E37" w:rsidRDefault="00A9710C" w14:paraId="0D1AD197" wp14:textId="7777777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xmlns:wp14="http://schemas.microsoft.com/office/word/2010/wordprocessingDrawing" distT="0" distB="0" distL="114300" distR="114300" simplePos="0" relativeHeight="503311976" behindDoc="1" locked="0" layoutInCell="1" allowOverlap="1" wp14:anchorId="04748ED2" wp14:editId="777777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5B3A56" w:rsidR="00AE3E37" w:rsidRDefault="002A196B" w14:paraId="7E3C212E" wp14:textId="77777777">
                          <w:pPr>
                            <w:spacing w:line="184" w:lineRule="exact"/>
                            <w:ind w:right="18"/>
                            <w:jc w:val="right"/>
                            <w:rPr>
                              <w:rFonts w:ascii="Arial"/>
                              <w:color w:val="FFFFFF" w:themeColor="background1"/>
                              <w:sz w:val="16"/>
                            </w:rPr>
                          </w:pPr>
                          <w:r>
                            <w:rPr>
                              <w:rFonts w:ascii="Arial"/>
                              <w:color w:val="FFFFFF" w:themeColor="background1"/>
                              <w:sz w:val="16"/>
                            </w:rPr>
                            <w:t>Volume 5, Issue 3(Sup</w:t>
                          </w:r>
                          <w:r w:rsidRPr="005B3A56" w:rsidR="00A9710C">
                            <w:rPr>
                              <w:rFonts w:ascii="Arial"/>
                              <w:color w:val="FFFFFF" w:themeColor="background1"/>
                              <w:sz w:val="16"/>
                            </w:rPr>
                            <w:t>)</w:t>
                          </w:r>
                        </w:p>
                        <w:p xmlns:wp14="http://schemas.microsoft.com/office/word/2010/wordml" w:rsidRPr="005B3A56" w:rsidR="00AE3E37" w:rsidRDefault="00A9710C" w14:paraId="3CDB751C" wp14:textId="7777777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2B80868C">
            <v:shape id="Text Box 1"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v:textbox inset="0,0,0,0">
                <w:txbxContent>
                  <w:p w:rsidRPr="005B3A56" w:rsidR="00AE3E37" w:rsidRDefault="002A196B" w14:paraId="34CF87CB" wp14:textId="77777777">
                    <w:pPr>
                      <w:spacing w:line="184" w:lineRule="exact"/>
                      <w:ind w:right="18"/>
                      <w:jc w:val="right"/>
                      <w:rPr>
                        <w:rFonts w:ascii="Arial"/>
                        <w:color w:val="FFFFFF" w:themeColor="background1"/>
                        <w:sz w:val="16"/>
                      </w:rPr>
                    </w:pPr>
                    <w:r>
                      <w:rPr>
                        <w:rFonts w:ascii="Arial"/>
                        <w:color w:val="FFFFFF" w:themeColor="background1"/>
                        <w:sz w:val="16"/>
                      </w:rPr>
                      <w:t>Volume 5, Issue 3(Sup</w:t>
                    </w:r>
                    <w:r w:rsidRPr="005B3A56" w:rsidR="00A9710C">
                      <w:rPr>
                        <w:rFonts w:ascii="Arial"/>
                        <w:color w:val="FFFFFF" w:themeColor="background1"/>
                        <w:sz w:val="16"/>
                      </w:rPr>
                      <w:t>)</w:t>
                    </w:r>
                  </w:p>
                  <w:p w:rsidRPr="005B3A56" w:rsidR="00AE3E37" w:rsidRDefault="00A9710C" w14:paraId="46172609" wp14:textId="7777777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xmlns:wp14="http://schemas.microsoft.com/office/word/2010/wordml" w:rsidR="00870DF9" w:rsidRDefault="00870DF9" w14:paraId="45FB0818" wp14:textId="77777777">
      <w:r>
        <w:separator/>
      </w:r>
    </w:p>
  </w:footnote>
  <w:footnote w:type="continuationSeparator" w:id="0">
    <w:p xmlns:wp14="http://schemas.microsoft.com/office/word/2010/wordml" w:rsidR="00870DF9" w:rsidRDefault="00870DF9" w14:paraId="049F31CB" wp14:textId="77777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p14">
  <w:p xmlns:wp14="http://schemas.microsoft.com/office/word/2010/wordml" w:rsidR="00AE3E37" w:rsidRDefault="00292ED9" w14:paraId="25E056F0" wp14:textId="77777777">
    <w:pPr>
      <w:pStyle w:val="BodyText"/>
      <w:spacing w:line="14" w:lineRule="auto"/>
      <w:rPr>
        <w:sz w:val="20"/>
      </w:rPr>
    </w:pPr>
    <w:r>
      <w:rPr>
        <w:noProof/>
        <w:lang w:val="en-IN" w:eastAsia="en-IN"/>
      </w:rPr>
      <mc:AlternateContent>
        <mc:Choice Requires="wps">
          <w:drawing>
            <wp:anchor xmlns:wp14="http://schemas.microsoft.com/office/word/2010/wordprocessingDrawing" distT="0" distB="0" distL="114300" distR="114300" simplePos="0" relativeHeight="503311880" behindDoc="1" locked="0" layoutInCell="1" allowOverlap="1" wp14:anchorId="18858618" wp14:editId="777777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5B3A56" w:rsidR="00AE3E37" w:rsidRDefault="00AE3E37" w14:paraId="44EAFD9C" wp14:textId="7777777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7571E676">
            <v:shapetype id="_x0000_t202" coordsize="21600,21600" o:spt="202" path="m,l,21600r21600,l21600,xe">
              <v:stroke joinstyle="miter"/>
              <v:path gradientshapeok="t" o:connecttype="rect"/>
            </v:shapetype>
            <v:shape id="Text Box 5"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v:textbox inset="0,0,0,0">
                <w:txbxContent>
                  <w:p w:rsidRPr="005B3A56" w:rsidR="00AE3E37" w:rsidRDefault="00AE3E37" w14:paraId="4B94D5A5" wp14:textId="7777777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xmlns:wp14="http://schemas.microsoft.com/office/word/2010/wordprocessingDrawing" distT="0" distB="0" distL="114300" distR="114300" simplePos="0" relativeHeight="503311904" behindDoc="1" locked="0" layoutInCell="1" allowOverlap="1" wp14:anchorId="6F60D757" wp14:editId="777777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5B3A56" w:rsidR="00AE3E37" w:rsidRDefault="00A9710C" w14:paraId="2984F861" wp14:textId="7777777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xmlns:wp14="http://schemas.microsoft.com/office/word/2010/wordml" w:rsidRPr="005B3A56" w:rsidR="00AE3E37" w:rsidRDefault="00A9710C" w14:paraId="6D788FCC" wp14:textId="7777777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61A05981">
            <v:shape id="Text Box 4"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v:textbox inset="0,0,0,0">
                <w:txbxContent>
                  <w:p w:rsidRPr="005B3A56" w:rsidR="00AE3E37" w:rsidRDefault="00A9710C" w14:paraId="67BF531A" wp14:textId="7777777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Pr="005B3A56" w:rsidR="00AE3E37" w:rsidRDefault="00A9710C" w14:paraId="7EA1E1F4" wp14:textId="7777777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start w:val="1"/>
      <w:numFmt w:val="decimal"/>
      <w:lvlText w:val="%1."/>
      <w:lvlJc w:val="left"/>
      <w:pPr>
        <w:ind w:left="383" w:hanging="284"/>
      </w:pPr>
      <w:rPr>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hint="default" w:ascii="Calibri" w:hAnsi="Calibri" w:eastAsia="Calibri" w:cs="Calibri"/>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30"/>
  <w:trackRevisions w:val="fals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A196B"/>
    <w:rsid w:val="002B2804"/>
    <w:rsid w:val="00404E5B"/>
    <w:rsid w:val="00414F7B"/>
    <w:rsid w:val="00433446"/>
    <w:rsid w:val="004355DC"/>
    <w:rsid w:val="004749B4"/>
    <w:rsid w:val="00494130"/>
    <w:rsid w:val="004F3523"/>
    <w:rsid w:val="005973B9"/>
    <w:rsid w:val="005B3A56"/>
    <w:rsid w:val="006060CE"/>
    <w:rsid w:val="0063497F"/>
    <w:rsid w:val="00870DF9"/>
    <w:rsid w:val="00873DF0"/>
    <w:rsid w:val="008756E6"/>
    <w:rsid w:val="009B2D44"/>
    <w:rsid w:val="00A07E82"/>
    <w:rsid w:val="00A9710C"/>
    <w:rsid w:val="00AE3E37"/>
    <w:rsid w:val="00B21A57"/>
    <w:rsid w:val="00C33602"/>
    <w:rsid w:val="00CD6F55"/>
    <w:rsid w:val="00DE1AF1"/>
    <w:rsid w:val="00DE3104"/>
    <w:rsid w:val="00F72EEA"/>
    <w:rsid w:val="00F84CAE"/>
    <w:rsid w:val="0922707F"/>
    <w:rsid w:val="25B8DC5A"/>
    <w:rsid w:val="31504937"/>
    <w:rsid w:val="337BDFBC"/>
    <w:rsid w:val="4625B9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A3880D"/>
  <w15:docId w15:val="{EFD4D47A-0726-4AE2-99D3-FAF8A880E2A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CD6F55"/>
    <w:rPr>
      <w:rFonts w:ascii="Tw Cen MT" w:hAnsi="Tw Cen MT" w:eastAsia="Tw Cen MT" w:cs="Tw Cen MT"/>
    </w:rPr>
  </w:style>
  <w:style w:type="paragraph" w:styleId="Heading1">
    <w:name w:val="heading 1"/>
    <w:basedOn w:val="Normal"/>
    <w:uiPriority w:val="1"/>
    <w:qFormat/>
    <w:rsid w:val="00CD6F55"/>
    <w:pPr>
      <w:spacing w:before="47" w:line="400" w:lineRule="exact"/>
      <w:ind w:left="100"/>
      <w:outlineLvl w:val="0"/>
    </w:pPr>
    <w:rPr>
      <w:rFonts w:ascii="Minion Pro" w:hAnsi="Minion Pro" w:eastAsia="Minion Pro" w:cs="Minion Pro"/>
      <w:b/>
      <w:bCs/>
      <w:sz w:val="36"/>
      <w:szCs w:val="36"/>
    </w:rPr>
  </w:style>
  <w:style w:type="paragraph" w:styleId="Heading2">
    <w:name w:val="heading 2"/>
    <w:basedOn w:val="Normal"/>
    <w:uiPriority w:val="1"/>
    <w:qFormat/>
    <w:rsid w:val="00CD6F55"/>
    <w:pPr>
      <w:ind w:left="100"/>
      <w:outlineLvl w:val="1"/>
    </w:pPr>
    <w:rPr>
      <w:rFonts w:ascii="Minion Pro" w:hAnsi="Minion Pro" w:eastAsia="Minion Pro" w:cs="Minion Pro"/>
      <w:sz w:val="24"/>
      <w:szCs w:val="24"/>
    </w:rPr>
  </w:style>
  <w:style w:type="paragraph" w:styleId="Heading3">
    <w:name w:val="heading 3"/>
    <w:basedOn w:val="Normal"/>
    <w:uiPriority w:val="1"/>
    <w:qFormat/>
    <w:rsid w:val="00CD6F55"/>
    <w:pPr>
      <w:ind w:left="100"/>
      <w:outlineLvl w:val="2"/>
    </w:pPr>
    <w:rPr>
      <w:rFonts w:ascii="Arial" w:hAnsi="Arial" w:eastAsia="Arial" w:cs="Arial"/>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hAnsi="Calibri" w:eastAsia="Calibri" w:cs="Calibri"/>
    </w:rPr>
  </w:style>
  <w:style w:type="paragraph" w:styleId="TableParagraph" w:customStyle="1">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styleId="HeaderChar" w:customStyle="1">
    <w:name w:val="Header Char"/>
    <w:basedOn w:val="DefaultParagraphFont"/>
    <w:link w:val="Header"/>
    <w:uiPriority w:val="99"/>
    <w:rsid w:val="005B3A56"/>
    <w:rPr>
      <w:rFonts w:ascii="Tw Cen MT" w:hAnsi="Tw Cen MT" w:eastAsia="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styleId="FooterChar" w:customStyle="1">
    <w:name w:val="Footer Char"/>
    <w:basedOn w:val="DefaultParagraphFont"/>
    <w:link w:val="Footer"/>
    <w:uiPriority w:val="99"/>
    <w:rsid w:val="005B3A56"/>
    <w:rPr>
      <w:rFonts w:ascii="Tw Cen MT" w:hAnsi="Tw Cen MT" w:eastAsia="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styleId="BalloonTextChar" w:customStyle="1">
    <w:name w:val="Balloon Text Char"/>
    <w:basedOn w:val="DefaultParagraphFont"/>
    <w:link w:val="BalloonText"/>
    <w:uiPriority w:val="99"/>
    <w:semiHidden/>
    <w:rsid w:val="004F3523"/>
    <w:rPr>
      <w:rFonts w:ascii="Tahoma" w:hAnsi="Tahoma" w:eastAsia="Tw Cen MT"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styleId="BodyTextChar" w:customStyle="1">
    <w:name w:val="Body Text Char"/>
    <w:basedOn w:val="DefaultParagraphFont"/>
    <w:link w:val="BodyText"/>
    <w:uiPriority w:val="1"/>
    <w:rsid w:val="005973B9"/>
    <w:rPr>
      <w:rFonts w:ascii="Tw Cen MT" w:hAnsi="Tw Cen MT" w:eastAsia="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ntTable" Target="fontTable.xml" Id="rId13" /><Relationship Type="http://schemas.microsoft.com/office/2007/relationships/stylesWithEffects" Target="stylesWithEffects.xml" Id="rId3" /><Relationship Type="http://schemas.openxmlformats.org/officeDocument/2006/relationships/endnotes" Target="endnotes.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 Type="http://schemas.openxmlformats.org/officeDocument/2006/relationships/image" Target="/media/image3.jpg" Id="R5b25697354574ae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mehaboobi shaik</dc:creator>
  <lastModifiedBy>Nathalia Benevides de Moraes Elbern</lastModifiedBy>
  <revision>7</revision>
  <dcterms:created xsi:type="dcterms:W3CDTF">2021-02-08T09:10:00.0000000Z</dcterms:created>
  <dcterms:modified xsi:type="dcterms:W3CDTF">2021-09-01T02:04:20.2916716Z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