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9D1691" w:rsidP="00494130">
      <w:pPr>
        <w:pStyle w:val="Heading1"/>
        <w:spacing w:before="170"/>
        <w:ind w:left="0"/>
      </w:pPr>
      <w:r>
        <w:rPr>
          <w:color w:val="337AB7"/>
        </w:rPr>
        <w:t>ANTIMICROPEPTIDE LL-37</w:t>
      </w:r>
      <w:r w:rsidR="009F7A93">
        <w:rPr>
          <w:color w:val="337AB7"/>
        </w:rPr>
        <w:t xml:space="preserve"> AND VITAMIN D </w:t>
      </w:r>
      <w:r w:rsidR="00C1549F">
        <w:rPr>
          <w:color w:val="337AB7"/>
        </w:rPr>
        <w:t xml:space="preserve">  PLAYS A VITAL ROLE IN </w:t>
      </w:r>
      <w:r>
        <w:rPr>
          <w:color w:val="337AB7"/>
        </w:rPr>
        <w:t xml:space="preserve"> ORAL HEALTH</w:t>
      </w:r>
    </w:p>
    <w:p w:rsidR="00AE3E37" w:rsidRPr="009D1691" w:rsidRDefault="009D1691" w:rsidP="009D1691">
      <w:pPr>
        <w:pStyle w:val="BodyText"/>
        <w:spacing w:before="73" w:line="198" w:lineRule="exact"/>
        <w:ind w:left="100" w:right="5987"/>
        <w:rPr>
          <w:rFonts w:ascii="Arial"/>
          <w:b/>
        </w:rPr>
      </w:pPr>
      <w:r w:rsidRPr="009D1691">
        <w:rPr>
          <w:rFonts w:ascii="Arial"/>
          <w:b/>
        </w:rPr>
        <w:t>DR.NIREEKSHA, M.D.S,INDIA</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8B1A6B" w:rsidRPr="00C1549F" w:rsidRDefault="00A9710C">
      <w:pPr>
        <w:pStyle w:val="Heading3"/>
        <w:spacing w:before="147"/>
        <w:jc w:val="both"/>
        <w:rPr>
          <w:color w:val="BF5A14"/>
        </w:rPr>
      </w:pPr>
      <w:r>
        <w:rPr>
          <w:color w:val="BF5A14"/>
        </w:rPr>
        <w:lastRenderedPageBreak/>
        <w:t>Abstract</w:t>
      </w:r>
      <w:r w:rsidR="00404E5B">
        <w:rPr>
          <w:color w:val="BF5A14"/>
        </w:rPr>
        <w:t xml:space="preserve"> (300 word limit)</w:t>
      </w:r>
    </w:p>
    <w:p w:rsidR="008B1A6B" w:rsidRPr="008B1A6B" w:rsidRDefault="009D1691" w:rsidP="008B1A6B">
      <w:pPr>
        <w:jc w:val="both"/>
        <w:rPr>
          <w:b/>
          <w:color w:val="BF5A14"/>
          <w:sz w:val="18"/>
          <w:szCs w:val="18"/>
        </w:rPr>
      </w:pPr>
      <w:r w:rsidRPr="008B1A6B">
        <w:rPr>
          <w:rFonts w:ascii="Arial" w:hAnsi="Arial" w:cs="Arial"/>
          <w:sz w:val="18"/>
          <w:szCs w:val="18"/>
          <w:lang w:val="en-IN"/>
        </w:rPr>
        <w:t xml:space="preserve">Oral diseases are among the most prevalent diseases globally and have serious health and economic burdens, greatly reducing quality of life for those affected. </w:t>
      </w:r>
      <w:r w:rsidRPr="008B1A6B">
        <w:rPr>
          <w:rFonts w:ascii="Arial" w:eastAsia="Arial" w:hAnsi="Arial" w:cs="Arial"/>
          <w:bCs/>
          <w:sz w:val="18"/>
          <w:szCs w:val="18"/>
        </w:rPr>
        <w:t>The most prevalent and consequential oral diseases globally a</w:t>
      </w:r>
      <w:r w:rsidR="008B1A6B" w:rsidRPr="008B1A6B">
        <w:rPr>
          <w:rFonts w:ascii="Arial" w:hAnsi="Arial" w:cs="Arial"/>
          <w:sz w:val="18"/>
          <w:szCs w:val="18"/>
        </w:rPr>
        <w:t>re dental caries [</w:t>
      </w:r>
      <w:r w:rsidRPr="008B1A6B">
        <w:rPr>
          <w:rFonts w:ascii="Arial" w:eastAsia="Arial" w:hAnsi="Arial" w:cs="Arial"/>
          <w:bCs/>
          <w:sz w:val="18"/>
          <w:szCs w:val="18"/>
        </w:rPr>
        <w:t xml:space="preserve">The Lancet, </w:t>
      </w:r>
      <w:r w:rsidRPr="008B1A6B">
        <w:rPr>
          <w:rFonts w:ascii="Arial" w:hAnsi="Arial" w:cs="Arial"/>
          <w:sz w:val="18"/>
          <w:szCs w:val="18"/>
        </w:rPr>
        <w:t>2020.</w:t>
      </w:r>
      <w:r w:rsidR="008B1A6B" w:rsidRPr="008B1A6B">
        <w:rPr>
          <w:rFonts w:ascii="Arial" w:hAnsi="Arial" w:cs="Arial"/>
          <w:sz w:val="18"/>
          <w:szCs w:val="18"/>
        </w:rPr>
        <w:t>] The untreated dental caries in permanent  teeth is responsible for various outcomes like severe pain,malocclusion,abscess and tooth loss.</w:t>
      </w:r>
      <w:r w:rsidR="008B1A6B">
        <w:rPr>
          <w:rFonts w:ascii="Arial" w:hAnsi="Arial" w:cs="Arial"/>
          <w:sz w:val="18"/>
          <w:szCs w:val="18"/>
        </w:rPr>
        <w:t xml:space="preserve"> </w:t>
      </w:r>
      <w:r w:rsidR="008B1A6B" w:rsidRPr="008B1A6B">
        <w:rPr>
          <w:rFonts w:ascii="Arial" w:hAnsi="Arial" w:cs="Arial"/>
          <w:sz w:val="18"/>
          <w:szCs w:val="18"/>
        </w:rPr>
        <w:t>But individuals with similar exposure of dietary food,cariogenic bacteria and other environmental risk factors may be less likely or more li</w:t>
      </w:r>
      <w:r w:rsidR="0073645B">
        <w:rPr>
          <w:rFonts w:ascii="Arial" w:hAnsi="Arial" w:cs="Arial"/>
          <w:sz w:val="18"/>
          <w:szCs w:val="18"/>
        </w:rPr>
        <w:t>kely to be affected by caries</w:t>
      </w:r>
      <w:r w:rsidR="008B1A6B" w:rsidRPr="008B1A6B">
        <w:rPr>
          <w:rFonts w:ascii="Arial" w:hAnsi="Arial" w:cs="Arial"/>
          <w:sz w:val="18"/>
          <w:szCs w:val="18"/>
        </w:rPr>
        <w:t>.</w:t>
      </w:r>
      <w:r w:rsidR="001C5EEA">
        <w:rPr>
          <w:rFonts w:ascii="Arial" w:hAnsi="Arial" w:cs="Arial"/>
          <w:sz w:val="18"/>
          <w:szCs w:val="18"/>
        </w:rPr>
        <w:t xml:space="preserve"> </w:t>
      </w:r>
      <w:r w:rsidR="008B1A6B" w:rsidRPr="008B1A6B">
        <w:rPr>
          <w:rFonts w:ascii="Arial" w:hAnsi="Arial" w:cs="Arial"/>
          <w:sz w:val="18"/>
          <w:szCs w:val="18"/>
        </w:rPr>
        <w:t>The underlying individual susceptibility to caries occurrence even when individuals were exposed to fluorides the necessity to look at underlying genetic players contributing to dental  occurrence and prevalence. This defines the term host susceptibility ,the attempt to understand various genetic factors uplifts the ability of clinicians to explain the role of genetic and inherited risk  factors.</w:t>
      </w:r>
      <w:r w:rsidR="008B1A6B">
        <w:rPr>
          <w:rFonts w:ascii="Arial" w:hAnsi="Arial" w:cs="Arial"/>
          <w:sz w:val="18"/>
          <w:szCs w:val="18"/>
        </w:rPr>
        <w:t xml:space="preserve"> </w:t>
      </w:r>
      <w:r w:rsidR="008B1A6B" w:rsidRPr="008B1A6B">
        <w:rPr>
          <w:rFonts w:ascii="Arial" w:hAnsi="Arial" w:cs="Arial"/>
          <w:sz w:val="18"/>
          <w:szCs w:val="18"/>
        </w:rPr>
        <w:t xml:space="preserve">Vitamin D  is identified as a risk factor due to its association with dental caries occurrence and prevalence. This metabolite plays a key role in different avenues in oral cavity a) Tooth </w:t>
      </w:r>
      <w:proofErr w:type="spellStart"/>
      <w:r w:rsidR="008B1A6B" w:rsidRPr="008B1A6B">
        <w:rPr>
          <w:rFonts w:ascii="Arial" w:hAnsi="Arial" w:cs="Arial"/>
          <w:sz w:val="18"/>
          <w:szCs w:val="18"/>
        </w:rPr>
        <w:t>mineralisation</w:t>
      </w:r>
      <w:proofErr w:type="spellEnd"/>
      <w:r w:rsidR="008B1A6B" w:rsidRPr="008B1A6B">
        <w:rPr>
          <w:rFonts w:ascii="Arial" w:hAnsi="Arial" w:cs="Arial"/>
          <w:sz w:val="18"/>
          <w:szCs w:val="18"/>
        </w:rPr>
        <w:t xml:space="preserve"> b) Anti-bacterial affect through the release of antimicrobial peptides c) effect of </w:t>
      </w:r>
      <w:proofErr w:type="spellStart"/>
      <w:r w:rsidR="008B1A6B" w:rsidRPr="008B1A6B">
        <w:rPr>
          <w:rFonts w:ascii="Arial" w:hAnsi="Arial" w:cs="Arial"/>
          <w:sz w:val="18"/>
          <w:szCs w:val="18"/>
        </w:rPr>
        <w:t>ameloblasts</w:t>
      </w:r>
      <w:proofErr w:type="spellEnd"/>
      <w:r w:rsidR="008B1A6B" w:rsidRPr="008B1A6B">
        <w:rPr>
          <w:rFonts w:ascii="Arial" w:hAnsi="Arial" w:cs="Arial"/>
          <w:sz w:val="18"/>
          <w:szCs w:val="18"/>
        </w:rPr>
        <w:t xml:space="preserve"> and </w:t>
      </w:r>
      <w:proofErr w:type="spellStart"/>
      <w:r w:rsidR="008B1A6B" w:rsidRPr="008B1A6B">
        <w:rPr>
          <w:rFonts w:ascii="Arial" w:hAnsi="Arial" w:cs="Arial"/>
          <w:sz w:val="18"/>
          <w:szCs w:val="18"/>
        </w:rPr>
        <w:t>odontoblasts</w:t>
      </w:r>
      <w:proofErr w:type="spellEnd"/>
      <w:r w:rsidR="008B1A6B" w:rsidRPr="008B1A6B">
        <w:rPr>
          <w:rFonts w:ascii="Arial" w:hAnsi="Arial" w:cs="Arial"/>
          <w:sz w:val="18"/>
          <w:szCs w:val="18"/>
        </w:rPr>
        <w:t xml:space="preserve"> i.e., formation of enamel and dentin through signalling pathways</w:t>
      </w:r>
      <w:r w:rsidR="008B1A6B">
        <w:rPr>
          <w:rFonts w:ascii="Arial" w:hAnsi="Arial" w:cs="Arial"/>
          <w:sz w:val="18"/>
          <w:szCs w:val="18"/>
        </w:rPr>
        <w:t>.</w:t>
      </w:r>
      <w:r w:rsidR="001C5EEA">
        <w:rPr>
          <w:rFonts w:ascii="Arial" w:hAnsi="Arial" w:cs="Arial"/>
          <w:sz w:val="18"/>
          <w:szCs w:val="18"/>
        </w:rPr>
        <w:t xml:space="preserve"> </w:t>
      </w:r>
      <w:r w:rsidR="008B1A6B">
        <w:rPr>
          <w:rFonts w:ascii="Arial" w:hAnsi="Arial" w:cs="Arial"/>
          <w:sz w:val="18"/>
          <w:szCs w:val="18"/>
        </w:rPr>
        <w:t xml:space="preserve">The antibacterial role is mainly achieved through  </w:t>
      </w:r>
      <w:r w:rsidR="00BC5548" w:rsidRPr="008B1A6B">
        <w:rPr>
          <w:rFonts w:ascii="Arial" w:eastAsia="Arial" w:hAnsi="Arial" w:cs="Arial"/>
          <w:bCs/>
          <w:sz w:val="18"/>
          <w:szCs w:val="18"/>
        </w:rPr>
        <w:t>LL-37(CATHELICIDINS)</w:t>
      </w:r>
      <w:r w:rsidR="008B1A6B">
        <w:rPr>
          <w:rFonts w:ascii="Arial" w:eastAsia="Arial" w:hAnsi="Arial" w:cs="Arial"/>
          <w:bCs/>
          <w:sz w:val="18"/>
          <w:szCs w:val="18"/>
        </w:rPr>
        <w:t xml:space="preserve"> via </w:t>
      </w:r>
      <w:r w:rsidR="008B1A6B" w:rsidRPr="008B1A6B">
        <w:rPr>
          <w:rFonts w:ascii="Arial" w:hAnsi="Arial" w:cs="Arial"/>
          <w:sz w:val="18"/>
          <w:szCs w:val="18"/>
        </w:rPr>
        <w:t>TLR2/1- VITAMIN D CATHELICIDINS(LL-37) PATHWAY</w:t>
      </w:r>
      <w:r w:rsidR="008B1A6B">
        <w:rPr>
          <w:rFonts w:ascii="Arial" w:eastAsia="Arial" w:hAnsi="Arial" w:cs="Arial"/>
          <w:bCs/>
          <w:sz w:val="18"/>
          <w:szCs w:val="18"/>
        </w:rPr>
        <w:t xml:space="preserve"> .It</w:t>
      </w:r>
      <w:r w:rsidR="00BC5548" w:rsidRPr="008B1A6B">
        <w:rPr>
          <w:rFonts w:ascii="Arial" w:eastAsia="Arial" w:hAnsi="Arial" w:cs="Arial"/>
          <w:bCs/>
          <w:sz w:val="18"/>
          <w:szCs w:val="18"/>
        </w:rPr>
        <w:t xml:space="preserve"> is a human antimicrobial protein of 18kDa, </w:t>
      </w:r>
      <w:r w:rsidR="00BC5548" w:rsidRPr="008B1A6B">
        <w:rPr>
          <w:rFonts w:ascii="Arial" w:eastAsia="Arial" w:hAnsi="Arial" w:cs="Arial"/>
          <w:bCs/>
          <w:sz w:val="18"/>
          <w:szCs w:val="18"/>
        </w:rPr>
        <w:t>only known member of cathelicidins in human</w:t>
      </w:r>
      <w:r w:rsidR="00BC5548" w:rsidRPr="008B1A6B">
        <w:rPr>
          <w:rFonts w:ascii="Arial" w:eastAsia="Arial" w:hAnsi="Arial" w:cs="Arial"/>
          <w:bCs/>
          <w:sz w:val="18"/>
          <w:szCs w:val="18"/>
        </w:rPr>
        <w:t>.</w:t>
      </w:r>
      <w:r w:rsidRPr="008B1A6B">
        <w:rPr>
          <w:rFonts w:ascii="Arial" w:hAnsi="Arial" w:cs="Arial"/>
          <w:sz w:val="18"/>
          <w:szCs w:val="18"/>
        </w:rPr>
        <w:t xml:space="preserve"> </w:t>
      </w:r>
      <w:r w:rsidR="00BC5548" w:rsidRPr="008B1A6B">
        <w:rPr>
          <w:rFonts w:ascii="Arial" w:eastAsia="Arial" w:hAnsi="Arial" w:cs="Arial"/>
          <w:bCs/>
          <w:sz w:val="18"/>
          <w:szCs w:val="18"/>
        </w:rPr>
        <w:t>They pos</w:t>
      </w:r>
      <w:r w:rsidR="00BC5548" w:rsidRPr="008B1A6B">
        <w:rPr>
          <w:rFonts w:ascii="Arial" w:eastAsia="Arial" w:hAnsi="Arial" w:cs="Arial"/>
          <w:bCs/>
          <w:sz w:val="18"/>
          <w:szCs w:val="18"/>
        </w:rPr>
        <w:t xml:space="preserve">sess </w:t>
      </w:r>
      <w:r w:rsidR="00BC5548" w:rsidRPr="008B1A6B">
        <w:rPr>
          <w:rFonts w:ascii="Arial" w:eastAsia="Arial" w:hAnsi="Arial" w:cs="Arial"/>
          <w:bCs/>
          <w:sz w:val="18"/>
          <w:szCs w:val="18"/>
        </w:rPr>
        <w:t>antimicrobial, antibacterial</w:t>
      </w:r>
      <w:r w:rsidR="00BC5548" w:rsidRPr="008B1A6B">
        <w:rPr>
          <w:rFonts w:ascii="Arial" w:eastAsia="Arial" w:hAnsi="Arial" w:cs="Arial"/>
          <w:bCs/>
          <w:sz w:val="18"/>
          <w:szCs w:val="18"/>
        </w:rPr>
        <w:t xml:space="preserve">, also disrupts pathogen membrane and </w:t>
      </w:r>
      <w:r w:rsidR="00BC5548" w:rsidRPr="008B1A6B">
        <w:rPr>
          <w:rFonts w:ascii="Arial" w:eastAsia="Arial" w:hAnsi="Arial" w:cs="Arial"/>
          <w:bCs/>
          <w:sz w:val="18"/>
          <w:szCs w:val="18"/>
        </w:rPr>
        <w:t xml:space="preserve">facilitates wound healing </w:t>
      </w:r>
      <w:r w:rsidR="00BC5548" w:rsidRPr="008B1A6B">
        <w:rPr>
          <w:rFonts w:ascii="Arial" w:eastAsia="Arial" w:hAnsi="Arial" w:cs="Arial"/>
          <w:bCs/>
          <w:sz w:val="18"/>
          <w:szCs w:val="18"/>
        </w:rPr>
        <w:t xml:space="preserve">through epidermal growth </w:t>
      </w:r>
      <w:r w:rsidR="00303577" w:rsidRPr="008B1A6B">
        <w:rPr>
          <w:rFonts w:ascii="Arial" w:hAnsi="Arial" w:cs="Arial"/>
          <w:sz w:val="18"/>
          <w:szCs w:val="18"/>
        </w:rPr>
        <w:t>factors</w:t>
      </w:r>
      <w:r w:rsidR="00BC5548" w:rsidRPr="008B1A6B">
        <w:rPr>
          <w:rFonts w:ascii="Arial" w:eastAsia="Arial" w:hAnsi="Arial" w:cs="Arial"/>
          <w:bCs/>
          <w:sz w:val="18"/>
          <w:szCs w:val="18"/>
        </w:rPr>
        <w:t xml:space="preserve">. Also enhances production of </w:t>
      </w:r>
      <w:r w:rsidR="00BC5548" w:rsidRPr="008B1A6B">
        <w:rPr>
          <w:rFonts w:ascii="Arial" w:eastAsia="Arial" w:hAnsi="Arial" w:cs="Arial"/>
          <w:bCs/>
          <w:sz w:val="18"/>
          <w:szCs w:val="18"/>
        </w:rPr>
        <w:t xml:space="preserve">immunoglobulin's, decreases apoptosis of cells, </w:t>
      </w:r>
      <w:proofErr w:type="spellStart"/>
      <w:r w:rsidR="00BC5548" w:rsidRPr="008B1A6B">
        <w:rPr>
          <w:rFonts w:ascii="Arial" w:eastAsia="Arial" w:hAnsi="Arial" w:cs="Arial"/>
          <w:bCs/>
          <w:sz w:val="18"/>
          <w:szCs w:val="18"/>
        </w:rPr>
        <w:t>chemotactic</w:t>
      </w:r>
      <w:proofErr w:type="spellEnd"/>
      <w:r w:rsidR="00BC5548" w:rsidRPr="008B1A6B">
        <w:rPr>
          <w:rFonts w:ascii="Arial" w:eastAsia="Arial" w:hAnsi="Arial" w:cs="Arial"/>
          <w:bCs/>
          <w:sz w:val="18"/>
          <w:szCs w:val="18"/>
        </w:rPr>
        <w:t xml:space="preserve"> and cytokine release activity.</w:t>
      </w:r>
      <w:r w:rsidR="009F7A93" w:rsidRPr="008B1A6B">
        <w:rPr>
          <w:rFonts w:ascii="Arial" w:hAnsi="Arial" w:cs="Arial"/>
          <w:sz w:val="18"/>
          <w:szCs w:val="18"/>
        </w:rPr>
        <w:t xml:space="preserve"> </w:t>
      </w:r>
      <w:r w:rsidR="008364B5">
        <w:rPr>
          <w:rFonts w:ascii="Arial" w:hAnsi="Arial" w:cs="Arial"/>
          <w:sz w:val="18"/>
          <w:szCs w:val="18"/>
        </w:rPr>
        <w:t xml:space="preserve">The polymorphism in the </w:t>
      </w:r>
      <w:r w:rsidR="001C5EEA">
        <w:rPr>
          <w:rFonts w:ascii="Arial" w:hAnsi="Arial" w:cs="Arial"/>
          <w:sz w:val="18"/>
          <w:szCs w:val="18"/>
        </w:rPr>
        <w:t>Vi</w:t>
      </w:r>
      <w:r w:rsidR="008364B5">
        <w:rPr>
          <w:rFonts w:ascii="Arial" w:hAnsi="Arial" w:cs="Arial"/>
          <w:sz w:val="18"/>
          <w:szCs w:val="18"/>
        </w:rPr>
        <w:t>tamin D receptor element (VDRE) effects the activation of LL-37</w:t>
      </w:r>
      <w:r w:rsidR="001C5EEA">
        <w:rPr>
          <w:rFonts w:ascii="Arial" w:hAnsi="Arial" w:cs="Arial"/>
          <w:sz w:val="18"/>
          <w:szCs w:val="18"/>
        </w:rPr>
        <w:t>.Therefore vitamin D and antimicrobial peptides play a vital role in providing protection against inflammation and bacteria's in the oral cavity.</w:t>
      </w:r>
    </w:p>
    <w:p w:rsidR="008B1A6B" w:rsidRPr="008B1A6B" w:rsidRDefault="008B1A6B">
      <w:pPr>
        <w:pStyle w:val="Heading3"/>
        <w:spacing w:before="74"/>
        <w:rPr>
          <w:b w:val="0"/>
          <w:color w:val="BF5A14"/>
          <w:sz w:val="18"/>
          <w:szCs w:val="18"/>
        </w:rPr>
      </w:pPr>
    </w:p>
    <w:p w:rsidR="008B1A6B" w:rsidRPr="008B1A6B" w:rsidRDefault="008B1A6B">
      <w:pPr>
        <w:pStyle w:val="Heading3"/>
        <w:spacing w:before="74"/>
        <w:rPr>
          <w:b w:val="0"/>
          <w:color w:val="BF5A14"/>
          <w:sz w:val="18"/>
          <w:szCs w:val="18"/>
        </w:rPr>
      </w:pPr>
    </w:p>
    <w:p w:rsidR="008B1A6B" w:rsidRDefault="008B1A6B">
      <w:pPr>
        <w:pStyle w:val="Heading3"/>
        <w:spacing w:before="74"/>
        <w:rPr>
          <w:b w:val="0"/>
          <w:color w:val="BF5A14"/>
        </w:rPr>
      </w:pPr>
    </w:p>
    <w:p w:rsidR="008B1A6B" w:rsidRDefault="008B1A6B">
      <w:pPr>
        <w:pStyle w:val="Heading3"/>
        <w:spacing w:before="74"/>
        <w:rPr>
          <w:b w:val="0"/>
          <w:color w:val="BF5A14"/>
        </w:rPr>
      </w:pPr>
    </w:p>
    <w:p w:rsidR="008B1A6B" w:rsidRDefault="008B1A6B">
      <w:pPr>
        <w:pStyle w:val="Heading3"/>
        <w:spacing w:before="74"/>
        <w:rPr>
          <w:b w:val="0"/>
          <w:color w:val="BF5A14"/>
        </w:rPr>
      </w:pPr>
    </w:p>
    <w:p w:rsidR="008B1A6B" w:rsidRDefault="008B1A6B">
      <w:pPr>
        <w:pStyle w:val="Heading3"/>
        <w:spacing w:before="74"/>
        <w:rPr>
          <w:b w:val="0"/>
          <w:color w:val="BF5A14"/>
        </w:rPr>
      </w:pPr>
    </w:p>
    <w:p w:rsidR="00AE3E37" w:rsidRPr="009D1691" w:rsidRDefault="00A9710C">
      <w:pPr>
        <w:pStyle w:val="Heading3"/>
        <w:spacing w:before="74"/>
        <w:rPr>
          <w:b w:val="0"/>
        </w:rPr>
      </w:pPr>
      <w:r w:rsidRPr="009D1691">
        <w:rPr>
          <w:b w:val="0"/>
          <w:color w:val="BF5A14"/>
        </w:rPr>
        <w:lastRenderedPageBreak/>
        <w:t>Image</w:t>
      </w:r>
    </w:p>
    <w:p w:rsidR="00AE3E37" w:rsidRDefault="001C5EEA" w:rsidP="00C1549F">
      <w:pPr>
        <w:pStyle w:val="BodyText"/>
        <w:spacing w:before="2"/>
        <w:jc w:val="center"/>
        <w:rPr>
          <w:rFonts w:ascii="Arial"/>
          <w:b/>
          <w:sz w:val="16"/>
        </w:rPr>
      </w:pPr>
      <w:r w:rsidRPr="001C5EEA">
        <w:rPr>
          <w:rFonts w:ascii="Arial"/>
          <w:b/>
          <w:sz w:val="16"/>
        </w:rPr>
        <w:drawing>
          <wp:inline distT="0" distB="0" distL="0" distR="0">
            <wp:extent cx="3159725" cy="2201875"/>
            <wp:effectExtent l="19050" t="0" r="2575" b="0"/>
            <wp:docPr id="4" name="Picture 1" descr="C:\Users\Nitte\Desktop\4.png"/>
            <wp:cNvGraphicFramePr/>
            <a:graphic xmlns:a="http://schemas.openxmlformats.org/drawingml/2006/main">
              <a:graphicData uri="http://schemas.openxmlformats.org/drawingml/2006/picture">
                <pic:pic xmlns:pic="http://schemas.openxmlformats.org/drawingml/2006/picture">
                  <pic:nvPicPr>
                    <pic:cNvPr id="1026" name="Picture 2" descr="C:\Users\Nitte\Desktop\4.png"/>
                    <pic:cNvPicPr>
                      <a:picLocks noChangeAspect="1" noChangeArrowheads="1"/>
                    </pic:cNvPicPr>
                  </pic:nvPicPr>
                  <pic:blipFill>
                    <a:blip r:embed="rId9" cstate="print"/>
                    <a:srcRect/>
                    <a:stretch>
                      <a:fillRect/>
                    </a:stretch>
                  </pic:blipFill>
                  <pic:spPr bwMode="auto">
                    <a:xfrm>
                      <a:off x="0" y="0"/>
                      <a:ext cx="3159725" cy="2201875"/>
                    </a:xfrm>
                    <a:prstGeom prst="rect">
                      <a:avLst/>
                    </a:prstGeom>
                    <a:noFill/>
                  </pic:spPr>
                </pic:pic>
              </a:graphicData>
            </a:graphic>
          </wp:inline>
        </w:drawing>
      </w:r>
      <w:r w:rsidR="00C1549F" w:rsidRPr="00C1549F">
        <w:rPr>
          <w:rFonts w:ascii="Arial"/>
          <w:b/>
          <w:sz w:val="16"/>
        </w:rPr>
        <w:t>TLR2/1- VITAMIN D CATHELICIDINS(LL-37) PATHWAY</w:t>
      </w:r>
    </w:p>
    <w:p w:rsidR="005973B9" w:rsidRDefault="005973B9" w:rsidP="005973B9">
      <w:pPr>
        <w:spacing w:line="204" w:lineRule="exact"/>
        <w:rPr>
          <w:rFonts w:ascii="Arial"/>
          <w:b/>
          <w:sz w:val="20"/>
        </w:rPr>
      </w:pPr>
      <w:r>
        <w:rPr>
          <w:rFonts w:ascii="Arial"/>
          <w:b/>
          <w:color w:val="BF5A14"/>
          <w:sz w:val="20"/>
        </w:rPr>
        <w:br/>
        <w:t>Recent Publications (minimum 5)</w:t>
      </w:r>
    </w:p>
    <w:p w:rsidR="00BB688C" w:rsidRPr="00BB688C" w:rsidRDefault="00BB688C" w:rsidP="00BB688C">
      <w:pPr>
        <w:pStyle w:val="ListParagraph"/>
        <w:numPr>
          <w:ilvl w:val="0"/>
          <w:numId w:val="7"/>
        </w:numPr>
        <w:ind w:left="284" w:hanging="142"/>
        <w:rPr>
          <w:rFonts w:asciiTheme="minorHAnsi" w:hAnsiTheme="minorHAnsi" w:cs="Times New Roman"/>
          <w:sz w:val="18"/>
          <w:szCs w:val="18"/>
        </w:rPr>
      </w:pPr>
      <w:r w:rsidRPr="00BB688C">
        <w:rPr>
          <w:rFonts w:asciiTheme="minorHAnsi" w:hAnsiTheme="minorHAnsi" w:cs="Times New Roman"/>
          <w:sz w:val="18"/>
          <w:szCs w:val="18"/>
        </w:rPr>
        <w:t xml:space="preserve">Immunomodulatory Expression of Cathelicidins Peptides in Pulp Inflammation and Regeneration: An Update. </w:t>
      </w:r>
      <w:proofErr w:type="spellStart"/>
      <w:r w:rsidRPr="00BB688C">
        <w:rPr>
          <w:rFonts w:asciiTheme="minorHAnsi" w:hAnsiTheme="minorHAnsi" w:cs="Times New Roman"/>
          <w:sz w:val="18"/>
          <w:szCs w:val="18"/>
        </w:rPr>
        <w:t>Curr</w:t>
      </w:r>
      <w:proofErr w:type="spellEnd"/>
      <w:r w:rsidRPr="00BB688C">
        <w:rPr>
          <w:rFonts w:asciiTheme="minorHAnsi" w:hAnsiTheme="minorHAnsi" w:cs="Times New Roman"/>
          <w:sz w:val="18"/>
          <w:szCs w:val="18"/>
        </w:rPr>
        <w:t>. Issues Mol. Biol. 2021, 43, 116–126. https://doi.org/ 10.3390/cimb43010010</w:t>
      </w:r>
    </w:p>
    <w:p w:rsidR="00BB688C" w:rsidRPr="00BB688C" w:rsidRDefault="00BB688C" w:rsidP="00BB688C">
      <w:pPr>
        <w:pStyle w:val="ListParagraph"/>
        <w:numPr>
          <w:ilvl w:val="0"/>
          <w:numId w:val="7"/>
        </w:numPr>
        <w:ind w:left="284" w:hanging="142"/>
        <w:rPr>
          <w:rFonts w:asciiTheme="minorHAnsi" w:hAnsiTheme="minorHAnsi" w:cs="Times New Roman"/>
          <w:sz w:val="18"/>
          <w:szCs w:val="18"/>
        </w:rPr>
      </w:pPr>
      <w:r w:rsidRPr="00BB688C">
        <w:rPr>
          <w:rFonts w:asciiTheme="minorHAnsi" w:hAnsiTheme="minorHAnsi" w:cs="Times New Roman"/>
          <w:sz w:val="18"/>
          <w:szCs w:val="18"/>
        </w:rPr>
        <w:t>Antimicrobial peptide cathelicidin and vitamin D receptor gee polymorphism in oral health. Indian journal of Forensic medicine and Toxicology.15(4)Oct 2021.</w:t>
      </w:r>
    </w:p>
    <w:p w:rsidR="00BB688C" w:rsidRPr="00BB688C" w:rsidRDefault="00BB688C" w:rsidP="00BB688C">
      <w:pPr>
        <w:pStyle w:val="ListParagraph"/>
        <w:numPr>
          <w:ilvl w:val="0"/>
          <w:numId w:val="7"/>
        </w:numPr>
        <w:ind w:left="284" w:hanging="142"/>
        <w:rPr>
          <w:rFonts w:asciiTheme="minorHAnsi" w:hAnsiTheme="minorHAnsi" w:cs="Times New Roman"/>
          <w:sz w:val="18"/>
          <w:szCs w:val="18"/>
        </w:rPr>
      </w:pPr>
      <w:r w:rsidRPr="00BB688C">
        <w:rPr>
          <w:rFonts w:asciiTheme="minorHAnsi" w:hAnsiTheme="minorHAnsi" w:cs="Times New Roman"/>
          <w:sz w:val="18"/>
          <w:szCs w:val="18"/>
        </w:rPr>
        <w:t xml:space="preserve">Fatty Acids and Oral Health: A Review Research Journal of Pharmaceutical and Chemical Sciences </w:t>
      </w:r>
      <w:proofErr w:type="spellStart"/>
      <w:r w:rsidRPr="00BB688C">
        <w:rPr>
          <w:rFonts w:asciiTheme="minorHAnsi" w:hAnsiTheme="minorHAnsi" w:cs="Times New Roman"/>
          <w:sz w:val="18"/>
          <w:szCs w:val="18"/>
        </w:rPr>
        <w:t>Issn</w:t>
      </w:r>
      <w:proofErr w:type="spellEnd"/>
      <w:r w:rsidRPr="00BB688C">
        <w:rPr>
          <w:rFonts w:asciiTheme="minorHAnsi" w:hAnsiTheme="minorHAnsi" w:cs="Times New Roman"/>
          <w:sz w:val="18"/>
          <w:szCs w:val="18"/>
        </w:rPr>
        <w:t xml:space="preserve"> No: 0975-8585 May –June 2018, 9(3) Page No.1080-1083.</w:t>
      </w:r>
    </w:p>
    <w:p w:rsidR="00BB688C" w:rsidRPr="00BB688C" w:rsidRDefault="00BB688C" w:rsidP="00BB688C">
      <w:pPr>
        <w:pStyle w:val="ListParagraph"/>
        <w:numPr>
          <w:ilvl w:val="0"/>
          <w:numId w:val="7"/>
        </w:numPr>
        <w:ind w:left="284" w:hanging="142"/>
        <w:rPr>
          <w:rFonts w:asciiTheme="minorHAnsi" w:hAnsiTheme="minorHAnsi" w:cs="Times New Roman"/>
          <w:sz w:val="18"/>
          <w:szCs w:val="18"/>
        </w:rPr>
      </w:pPr>
      <w:r w:rsidRPr="00BB688C">
        <w:rPr>
          <w:rFonts w:asciiTheme="minorHAnsi" w:hAnsiTheme="minorHAnsi" w:cs="Times New Roman"/>
          <w:sz w:val="18"/>
          <w:szCs w:val="18"/>
        </w:rPr>
        <w:t xml:space="preserve">Salivary selenium levels in Dental caries. Indian journal of public health research and development. </w:t>
      </w:r>
      <w:proofErr w:type="spellStart"/>
      <w:r w:rsidRPr="00BB688C">
        <w:rPr>
          <w:rFonts w:asciiTheme="minorHAnsi" w:hAnsiTheme="minorHAnsi" w:cs="Times New Roman"/>
          <w:sz w:val="18"/>
          <w:szCs w:val="18"/>
        </w:rPr>
        <w:t>Vol</w:t>
      </w:r>
      <w:proofErr w:type="spellEnd"/>
      <w:r w:rsidRPr="00BB688C">
        <w:rPr>
          <w:rFonts w:asciiTheme="minorHAnsi" w:hAnsiTheme="minorHAnsi" w:cs="Times New Roman"/>
          <w:sz w:val="18"/>
          <w:szCs w:val="18"/>
        </w:rPr>
        <w:t xml:space="preserve"> 11.No.2,feb 2020.</w:t>
      </w:r>
    </w:p>
    <w:p w:rsidR="00BB688C" w:rsidRDefault="00BB688C" w:rsidP="00BB688C">
      <w:pPr>
        <w:pStyle w:val="ListParagraph"/>
        <w:numPr>
          <w:ilvl w:val="0"/>
          <w:numId w:val="7"/>
        </w:numPr>
        <w:ind w:left="284" w:hanging="142"/>
        <w:rPr>
          <w:rFonts w:asciiTheme="minorHAnsi" w:hAnsiTheme="minorHAnsi" w:cs="Times New Roman"/>
          <w:sz w:val="18"/>
          <w:szCs w:val="18"/>
        </w:rPr>
      </w:pPr>
      <w:r w:rsidRPr="00BB688C">
        <w:rPr>
          <w:rFonts w:asciiTheme="minorHAnsi" w:hAnsiTheme="minorHAnsi" w:cs="Times New Roman"/>
          <w:sz w:val="18"/>
          <w:szCs w:val="18"/>
        </w:rPr>
        <w:t xml:space="preserve">Salivary proteins as biomarkers in dental caries: in vivo study. Dental, oral and craniofacial research, Dent Oral Craniofacial </w:t>
      </w:r>
      <w:proofErr w:type="spellStart"/>
      <w:r w:rsidRPr="00BB688C">
        <w:rPr>
          <w:rFonts w:asciiTheme="minorHAnsi" w:hAnsiTheme="minorHAnsi" w:cs="Times New Roman"/>
          <w:sz w:val="18"/>
          <w:szCs w:val="18"/>
        </w:rPr>
        <w:t>Res,Volume</w:t>
      </w:r>
      <w:proofErr w:type="spellEnd"/>
      <w:r w:rsidRPr="00BB688C">
        <w:rPr>
          <w:rFonts w:asciiTheme="minorHAnsi" w:hAnsiTheme="minorHAnsi" w:cs="Times New Roman"/>
          <w:sz w:val="18"/>
          <w:szCs w:val="18"/>
        </w:rPr>
        <w:t xml:space="preserve"> 3(2): 1-7</w:t>
      </w:r>
    </w:p>
    <w:p w:rsidR="00BB688C" w:rsidRPr="00BB688C" w:rsidRDefault="00BB688C" w:rsidP="00BB688C">
      <w:pPr>
        <w:pStyle w:val="ListParagraph"/>
        <w:numPr>
          <w:ilvl w:val="0"/>
          <w:numId w:val="7"/>
        </w:numPr>
        <w:ind w:left="284" w:hanging="142"/>
        <w:rPr>
          <w:rFonts w:asciiTheme="minorHAnsi" w:hAnsiTheme="minorHAnsi" w:cs="Times New Roman"/>
          <w:sz w:val="18"/>
          <w:szCs w:val="18"/>
        </w:rPr>
      </w:pPr>
      <w:r w:rsidRPr="00BB688C">
        <w:rPr>
          <w:rFonts w:asciiTheme="minorHAnsi" w:hAnsiTheme="minorHAnsi" w:cs="Times New Roman"/>
          <w:sz w:val="18"/>
          <w:szCs w:val="18"/>
        </w:rPr>
        <w:t xml:space="preserve">Saliva as a biomarker of heat shock protein in chronic renal disease. J </w:t>
      </w:r>
      <w:proofErr w:type="spellStart"/>
      <w:r w:rsidRPr="00BB688C">
        <w:rPr>
          <w:rFonts w:asciiTheme="minorHAnsi" w:hAnsiTheme="minorHAnsi" w:cs="Times New Roman"/>
          <w:sz w:val="18"/>
          <w:szCs w:val="18"/>
        </w:rPr>
        <w:t>interdiscipl</w:t>
      </w:r>
      <w:proofErr w:type="spellEnd"/>
      <w:r w:rsidRPr="00BB688C">
        <w:rPr>
          <w:rFonts w:asciiTheme="minorHAnsi" w:hAnsiTheme="minorHAnsi" w:cs="Times New Roman"/>
          <w:sz w:val="18"/>
          <w:szCs w:val="18"/>
        </w:rPr>
        <w:t xml:space="preserve"> med dent </w:t>
      </w:r>
      <w:proofErr w:type="spellStart"/>
      <w:r w:rsidRPr="00BB688C">
        <w:rPr>
          <w:rFonts w:asciiTheme="minorHAnsi" w:hAnsiTheme="minorHAnsi" w:cs="Times New Roman"/>
          <w:sz w:val="18"/>
          <w:szCs w:val="18"/>
        </w:rPr>
        <w:t>sci</w:t>
      </w:r>
      <w:proofErr w:type="spellEnd"/>
      <w:r w:rsidRPr="00BB688C">
        <w:rPr>
          <w:rFonts w:asciiTheme="minorHAnsi" w:hAnsiTheme="minorHAnsi" w:cs="Times New Roman"/>
          <w:sz w:val="18"/>
          <w:szCs w:val="18"/>
        </w:rPr>
        <w:t xml:space="preserve"> 4:195. </w:t>
      </w:r>
      <w:proofErr w:type="spellStart"/>
      <w:r w:rsidRPr="00BB688C">
        <w:rPr>
          <w:rFonts w:asciiTheme="minorHAnsi" w:hAnsiTheme="minorHAnsi" w:cs="Times New Roman"/>
          <w:sz w:val="18"/>
          <w:szCs w:val="18"/>
        </w:rPr>
        <w:t>Doi</w:t>
      </w:r>
      <w:proofErr w:type="spellEnd"/>
      <w:r w:rsidRPr="00BB688C">
        <w:rPr>
          <w:rFonts w:asciiTheme="minorHAnsi" w:hAnsiTheme="minorHAnsi" w:cs="Times New Roman"/>
          <w:sz w:val="18"/>
          <w:szCs w:val="18"/>
        </w:rPr>
        <w:t>: 10.4172/2376- 032x.1000195.</w:t>
      </w:r>
    </w:p>
    <w:p w:rsidR="00BB688C" w:rsidRPr="00BB688C" w:rsidRDefault="00BB688C" w:rsidP="00BB688C">
      <w:pPr>
        <w:pStyle w:val="ListParagraph"/>
        <w:ind w:left="284" w:firstLine="0"/>
        <w:rPr>
          <w:rFonts w:asciiTheme="minorHAnsi" w:hAnsiTheme="minorHAnsi" w:cs="Times New Roman"/>
          <w:sz w:val="18"/>
          <w:szCs w:val="18"/>
        </w:rPr>
      </w:pPr>
    </w:p>
    <w:p w:rsidR="00BB688C" w:rsidRPr="00BB688C" w:rsidRDefault="00BB688C" w:rsidP="00BB688C">
      <w:pPr>
        <w:pStyle w:val="ListParagraph"/>
        <w:ind w:left="284" w:firstLine="0"/>
        <w:rPr>
          <w:rFonts w:asciiTheme="minorHAnsi" w:hAnsiTheme="minorHAnsi" w:cs="Times New Roman"/>
          <w:sz w:val="18"/>
          <w:szCs w:val="18"/>
        </w:rPr>
      </w:pPr>
    </w:p>
    <w:p w:rsidR="00BB688C" w:rsidRDefault="00BB688C" w:rsidP="00BB688C">
      <w:pPr>
        <w:ind w:left="142"/>
        <w:rPr>
          <w:rFonts w:asciiTheme="minorHAnsi" w:hAnsiTheme="minorHAnsi" w:cs="Times New Roman"/>
          <w:sz w:val="18"/>
          <w:szCs w:val="18"/>
        </w:rPr>
      </w:pPr>
    </w:p>
    <w:p w:rsidR="00BB688C" w:rsidRPr="00BB688C" w:rsidRDefault="00BB688C" w:rsidP="00BB688C">
      <w:pPr>
        <w:ind w:left="142"/>
        <w:rPr>
          <w:rFonts w:asciiTheme="minorHAnsi" w:hAnsiTheme="minorHAnsi" w:cs="Times New Roman"/>
          <w:sz w:val="18"/>
          <w:szCs w:val="18"/>
        </w:rPr>
        <w:sectPr w:rsidR="00BB688C" w:rsidRPr="00BB688C">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8F4931">
      <w:pPr>
        <w:pStyle w:val="BodyText"/>
        <w:spacing w:line="40" w:lineRule="exact"/>
        <w:ind w:left="2202"/>
        <w:rPr>
          <w:rFonts w:ascii="Calibri"/>
          <w:sz w:val="4"/>
        </w:rPr>
      </w:pPr>
      <w:r>
        <w:rPr>
          <w:rFonts w:ascii="Calibri"/>
          <w:noProof/>
          <w:sz w:val="4"/>
          <w:lang w:val="en-IN" w:eastAsia="en-IN"/>
        </w:rPr>
      </w:r>
      <w:r w:rsidRPr="008F4931">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Pr="00C1549F" w:rsidRDefault="008756E6" w:rsidP="00404E5B">
      <w:pPr>
        <w:spacing w:before="92"/>
        <w:ind w:right="4234"/>
        <w:rPr>
          <w:noProof/>
        </w:rPr>
      </w:pPr>
      <w:r>
        <w:rPr>
          <w:noProof/>
        </w:rPr>
        <w:t xml:space="preserve">    </w:t>
      </w:r>
      <w:r w:rsidR="00C1549F">
        <w:rPr>
          <w:noProof/>
          <w:lang w:val="en-IN" w:eastAsia="en-IN"/>
        </w:rPr>
        <w:drawing>
          <wp:inline distT="0" distB="0" distL="0" distR="0">
            <wp:extent cx="961187" cy="1015702"/>
            <wp:effectExtent l="19050" t="0" r="0" b="0"/>
            <wp:docPr id="6" name="Picture 4" descr="C:\Users\Nitte\Desktop\evrything\IMG-20160707-WA0004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Nitte\Desktop\evrything\IMG-20160707-WA0004 (1).jpg"/>
                    <pic:cNvPicPr>
                      <a:picLocks noChangeAspect="1" noChangeArrowheads="1"/>
                    </pic:cNvPicPr>
                  </pic:nvPicPr>
                  <pic:blipFill>
                    <a:blip r:embed="rId10" cstate="print"/>
                    <a:srcRect/>
                    <a:stretch>
                      <a:fillRect/>
                    </a:stretch>
                  </pic:blipFill>
                  <pic:spPr bwMode="auto">
                    <a:xfrm>
                      <a:off x="0" y="0"/>
                      <a:ext cx="961187" cy="1015702"/>
                    </a:xfrm>
                    <a:prstGeom prst="rect">
                      <a:avLst/>
                    </a:prstGeom>
                    <a:noFill/>
                    <a:ln w="9525">
                      <a:noFill/>
                      <a:miter lim="800000"/>
                      <a:headEnd/>
                      <a:tailEnd/>
                    </a:ln>
                  </pic:spPr>
                </pic:pic>
              </a:graphicData>
            </a:graphic>
          </wp:inline>
        </w:drawing>
      </w:r>
      <w:r w:rsidR="002A196B">
        <w:rPr>
          <w:noProof/>
        </w:rPr>
        <w:t xml:space="preserve"> </w:t>
      </w:r>
      <w:r w:rsidR="00A9710C">
        <w:rPr>
          <w:rFonts w:ascii="Arial"/>
          <w:color w:val="BF5A14"/>
        </w:rPr>
        <w:t>Biography</w:t>
      </w:r>
      <w:r w:rsidR="00404E5B">
        <w:rPr>
          <w:rFonts w:ascii="Arial"/>
          <w:color w:val="BF5A14"/>
        </w:rPr>
        <w:t xml:space="preserve"> (150 word limit)</w:t>
      </w:r>
    </w:p>
    <w:p w:rsidR="00AE3E37" w:rsidRDefault="00C1549F">
      <w:pPr>
        <w:spacing w:before="41" w:line="154" w:lineRule="exact"/>
        <w:ind w:left="213" w:right="231"/>
        <w:jc w:val="both"/>
        <w:rPr>
          <w:rFonts w:ascii="Arial"/>
          <w:sz w:val="14"/>
        </w:rPr>
      </w:pPr>
      <w:r>
        <w:rPr>
          <w:rFonts w:ascii="Arial"/>
          <w:sz w:val="14"/>
        </w:rPr>
        <w:t xml:space="preserve">Dr. </w:t>
      </w:r>
      <w:proofErr w:type="spellStart"/>
      <w:r>
        <w:rPr>
          <w:rFonts w:ascii="Arial"/>
          <w:sz w:val="14"/>
        </w:rPr>
        <w:t>Nireeksha</w:t>
      </w:r>
      <w:proofErr w:type="spellEnd"/>
      <w:r>
        <w:rPr>
          <w:rFonts w:ascii="Arial"/>
          <w:sz w:val="14"/>
        </w:rPr>
        <w:t xml:space="preserve">, </w:t>
      </w:r>
      <w:r w:rsidR="008F134D">
        <w:rPr>
          <w:rFonts w:ascii="Arial"/>
          <w:sz w:val="14"/>
        </w:rPr>
        <w:t>cu</w:t>
      </w:r>
      <w:r w:rsidR="008E37DF">
        <w:rPr>
          <w:rFonts w:ascii="Arial"/>
          <w:sz w:val="14"/>
        </w:rPr>
        <w:t>rrently assistant professor in D</w:t>
      </w:r>
      <w:r w:rsidR="008F134D">
        <w:rPr>
          <w:rFonts w:ascii="Arial"/>
          <w:sz w:val="14"/>
        </w:rPr>
        <w:t>epartment of conservative dentistry and Endodontics,</w:t>
      </w:r>
      <w:r w:rsidR="00AC3E38">
        <w:rPr>
          <w:rFonts w:ascii="Arial"/>
          <w:sz w:val="14"/>
        </w:rPr>
        <w:t>A.B.Shetty memorial institute of dental sciences</w:t>
      </w:r>
      <w:r w:rsidR="008E37DF">
        <w:rPr>
          <w:rFonts w:ascii="Arial"/>
          <w:sz w:val="14"/>
        </w:rPr>
        <w:t xml:space="preserve"> </w:t>
      </w:r>
      <w:r w:rsidR="00AC3E38">
        <w:rPr>
          <w:rFonts w:ascii="Arial"/>
          <w:sz w:val="14"/>
        </w:rPr>
        <w:t>,</w:t>
      </w:r>
      <w:proofErr w:type="spellStart"/>
      <w:r w:rsidR="00AC3E38">
        <w:rPr>
          <w:rFonts w:ascii="Arial"/>
          <w:sz w:val="14"/>
        </w:rPr>
        <w:t>Nitte</w:t>
      </w:r>
      <w:proofErr w:type="spellEnd"/>
      <w:r w:rsidR="00AC3E38">
        <w:rPr>
          <w:rFonts w:ascii="Arial"/>
          <w:sz w:val="14"/>
        </w:rPr>
        <w:t>(deemed to be) University,</w:t>
      </w:r>
      <w:r w:rsidR="008F134D">
        <w:rPr>
          <w:rFonts w:ascii="Arial"/>
          <w:sz w:val="14"/>
        </w:rPr>
        <w:t xml:space="preserve"> perceiving  her PhD</w:t>
      </w:r>
      <w:r w:rsidR="00152033">
        <w:rPr>
          <w:rFonts w:ascii="Arial"/>
          <w:sz w:val="14"/>
        </w:rPr>
        <w:t xml:space="preserve"> and owns a clinical practice.</w:t>
      </w:r>
      <w:r w:rsidR="008E37DF">
        <w:rPr>
          <w:rFonts w:ascii="Arial"/>
          <w:sz w:val="14"/>
        </w:rPr>
        <w:t xml:space="preserve"> Received  Budding research scholar award,2018 from Indian association of radiation biology and has grants from state government(VGST) .</w:t>
      </w:r>
      <w:r w:rsidR="00152033">
        <w:rPr>
          <w:rFonts w:ascii="Arial"/>
          <w:sz w:val="14"/>
        </w:rPr>
        <w:t xml:space="preserve">The area of interest in research primarily adheres to saliva research and its association with various oral health conditions. </w:t>
      </w:r>
    </w:p>
    <w:p w:rsidR="00C1549F" w:rsidRDefault="00C1549F" w:rsidP="00C1549F">
      <w:pPr>
        <w:spacing w:before="62"/>
        <w:ind w:left="4217" w:right="4235"/>
        <w:jc w:val="center"/>
        <w:rPr>
          <w:rFonts w:ascii="Arial"/>
          <w:sz w:val="19"/>
        </w:rPr>
      </w:pPr>
      <w:r>
        <w:rPr>
          <w:rFonts w:ascii="Arial"/>
          <w:sz w:val="14"/>
        </w:rPr>
        <w:t>Email:</w:t>
      </w:r>
      <w:r w:rsidRPr="00C1549F">
        <w:rPr>
          <w:noProof/>
          <w:sz w:val="18"/>
          <w:lang w:val="en-IN" w:eastAsia="en-IN"/>
        </w:rPr>
        <w:t xml:space="preserve"> </w:t>
      </w:r>
      <w:r>
        <w:t>drnireeksha@nitte.edu.in</w:t>
      </w:r>
    </w:p>
    <w:p w:rsidR="00C1549F" w:rsidRDefault="00C1549F">
      <w:pPr>
        <w:spacing w:before="41" w:line="154" w:lineRule="exact"/>
        <w:ind w:left="213" w:right="231"/>
        <w:jc w:val="both"/>
        <w:rPr>
          <w:rFonts w:ascii="Arial"/>
          <w:sz w:val="14"/>
        </w:rPr>
      </w:pP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5548" w:rsidRDefault="00BC5548">
      <w:r>
        <w:separator/>
      </w:r>
    </w:p>
  </w:endnote>
  <w:endnote w:type="continuationSeparator" w:id="0">
    <w:p w:rsidR="00BC5548" w:rsidRDefault="00BC554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8F4931">
    <w:pPr>
      <w:pStyle w:val="BodyText"/>
      <w:spacing w:line="14" w:lineRule="auto"/>
      <w:rPr>
        <w:sz w:val="20"/>
      </w:rPr>
    </w:pPr>
    <w:r w:rsidRPr="008F4931">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v:textbox>
          <w10:wrap anchorx="page" anchory="page"/>
        </v:shape>
      </w:pict>
    </w:r>
    <w:r w:rsidRPr="008F4931">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8F4931">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5548" w:rsidRDefault="00BC5548">
      <w:r>
        <w:separator/>
      </w:r>
    </w:p>
  </w:footnote>
  <w:footnote w:type="continuationSeparator" w:id="0">
    <w:p w:rsidR="00BC5548" w:rsidRDefault="00BC554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8F4931">
    <w:pPr>
      <w:pStyle w:val="BodyText"/>
      <w:spacing w:line="14" w:lineRule="auto"/>
      <w:rPr>
        <w:sz w:val="20"/>
      </w:rPr>
    </w:pPr>
    <w:r w:rsidRPr="008F4931">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w:r>
    <w:r w:rsidRPr="008F4931">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43548F8"/>
    <w:multiLevelType w:val="hybridMultilevel"/>
    <w:tmpl w:val="78D27CD6"/>
    <w:lvl w:ilvl="0" w:tplc="4009000F">
      <w:start w:val="1"/>
      <w:numFmt w:val="decimal"/>
      <w:lvlText w:val="%1."/>
      <w:lvlJc w:val="left"/>
      <w:pPr>
        <w:ind w:left="4188" w:hanging="360"/>
      </w:pPr>
      <w:rPr>
        <w:rFonts w:hint="default"/>
      </w:rPr>
    </w:lvl>
    <w:lvl w:ilvl="1" w:tplc="40090003" w:tentative="1">
      <w:start w:val="1"/>
      <w:numFmt w:val="bullet"/>
      <w:lvlText w:val="o"/>
      <w:lvlJc w:val="left"/>
      <w:pPr>
        <w:ind w:left="4908" w:hanging="360"/>
      </w:pPr>
      <w:rPr>
        <w:rFonts w:ascii="Courier New" w:hAnsi="Courier New" w:cs="Courier New" w:hint="default"/>
      </w:rPr>
    </w:lvl>
    <w:lvl w:ilvl="2" w:tplc="40090005" w:tentative="1">
      <w:start w:val="1"/>
      <w:numFmt w:val="bullet"/>
      <w:lvlText w:val=""/>
      <w:lvlJc w:val="left"/>
      <w:pPr>
        <w:ind w:left="5628" w:hanging="360"/>
      </w:pPr>
      <w:rPr>
        <w:rFonts w:ascii="Wingdings" w:hAnsi="Wingdings" w:hint="default"/>
      </w:rPr>
    </w:lvl>
    <w:lvl w:ilvl="3" w:tplc="40090001" w:tentative="1">
      <w:start w:val="1"/>
      <w:numFmt w:val="bullet"/>
      <w:lvlText w:val=""/>
      <w:lvlJc w:val="left"/>
      <w:pPr>
        <w:ind w:left="6348" w:hanging="360"/>
      </w:pPr>
      <w:rPr>
        <w:rFonts w:ascii="Symbol" w:hAnsi="Symbol" w:hint="default"/>
      </w:rPr>
    </w:lvl>
    <w:lvl w:ilvl="4" w:tplc="40090003" w:tentative="1">
      <w:start w:val="1"/>
      <w:numFmt w:val="bullet"/>
      <w:lvlText w:val="o"/>
      <w:lvlJc w:val="left"/>
      <w:pPr>
        <w:ind w:left="7068" w:hanging="360"/>
      </w:pPr>
      <w:rPr>
        <w:rFonts w:ascii="Courier New" w:hAnsi="Courier New" w:cs="Courier New" w:hint="default"/>
      </w:rPr>
    </w:lvl>
    <w:lvl w:ilvl="5" w:tplc="40090005" w:tentative="1">
      <w:start w:val="1"/>
      <w:numFmt w:val="bullet"/>
      <w:lvlText w:val=""/>
      <w:lvlJc w:val="left"/>
      <w:pPr>
        <w:ind w:left="7788" w:hanging="360"/>
      </w:pPr>
      <w:rPr>
        <w:rFonts w:ascii="Wingdings" w:hAnsi="Wingdings" w:hint="default"/>
      </w:rPr>
    </w:lvl>
    <w:lvl w:ilvl="6" w:tplc="40090001" w:tentative="1">
      <w:start w:val="1"/>
      <w:numFmt w:val="bullet"/>
      <w:lvlText w:val=""/>
      <w:lvlJc w:val="left"/>
      <w:pPr>
        <w:ind w:left="8508" w:hanging="360"/>
      </w:pPr>
      <w:rPr>
        <w:rFonts w:ascii="Symbol" w:hAnsi="Symbol" w:hint="default"/>
      </w:rPr>
    </w:lvl>
    <w:lvl w:ilvl="7" w:tplc="40090003" w:tentative="1">
      <w:start w:val="1"/>
      <w:numFmt w:val="bullet"/>
      <w:lvlText w:val="o"/>
      <w:lvlJc w:val="left"/>
      <w:pPr>
        <w:ind w:left="9228" w:hanging="360"/>
      </w:pPr>
      <w:rPr>
        <w:rFonts w:ascii="Courier New" w:hAnsi="Courier New" w:cs="Courier New" w:hint="default"/>
      </w:rPr>
    </w:lvl>
    <w:lvl w:ilvl="8" w:tplc="40090005" w:tentative="1">
      <w:start w:val="1"/>
      <w:numFmt w:val="bullet"/>
      <w:lvlText w:val=""/>
      <w:lvlJc w:val="left"/>
      <w:pPr>
        <w:ind w:left="9948" w:hanging="360"/>
      </w:pPr>
      <w:rPr>
        <w:rFonts w:ascii="Wingdings" w:hAnsi="Wingding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6F031F0B"/>
    <w:multiLevelType w:val="hybridMultilevel"/>
    <w:tmpl w:val="56320FA8"/>
    <w:lvl w:ilvl="0" w:tplc="0A0827DA">
      <w:start w:val="1"/>
      <w:numFmt w:val="bullet"/>
      <w:lvlText w:val="•"/>
      <w:lvlJc w:val="left"/>
      <w:pPr>
        <w:tabs>
          <w:tab w:val="num" w:pos="720"/>
        </w:tabs>
        <w:ind w:left="720" w:hanging="360"/>
      </w:pPr>
      <w:rPr>
        <w:rFonts w:ascii="Arial" w:hAnsi="Arial" w:hint="default"/>
      </w:rPr>
    </w:lvl>
    <w:lvl w:ilvl="1" w:tplc="2D1011C4" w:tentative="1">
      <w:start w:val="1"/>
      <w:numFmt w:val="bullet"/>
      <w:lvlText w:val="•"/>
      <w:lvlJc w:val="left"/>
      <w:pPr>
        <w:tabs>
          <w:tab w:val="num" w:pos="1440"/>
        </w:tabs>
        <w:ind w:left="1440" w:hanging="360"/>
      </w:pPr>
      <w:rPr>
        <w:rFonts w:ascii="Arial" w:hAnsi="Arial" w:hint="default"/>
      </w:rPr>
    </w:lvl>
    <w:lvl w:ilvl="2" w:tplc="CD00F3DE" w:tentative="1">
      <w:start w:val="1"/>
      <w:numFmt w:val="bullet"/>
      <w:lvlText w:val="•"/>
      <w:lvlJc w:val="left"/>
      <w:pPr>
        <w:tabs>
          <w:tab w:val="num" w:pos="2160"/>
        </w:tabs>
        <w:ind w:left="2160" w:hanging="360"/>
      </w:pPr>
      <w:rPr>
        <w:rFonts w:ascii="Arial" w:hAnsi="Arial" w:hint="default"/>
      </w:rPr>
    </w:lvl>
    <w:lvl w:ilvl="3" w:tplc="55AE4CC8" w:tentative="1">
      <w:start w:val="1"/>
      <w:numFmt w:val="bullet"/>
      <w:lvlText w:val="•"/>
      <w:lvlJc w:val="left"/>
      <w:pPr>
        <w:tabs>
          <w:tab w:val="num" w:pos="2880"/>
        </w:tabs>
        <w:ind w:left="2880" w:hanging="360"/>
      </w:pPr>
      <w:rPr>
        <w:rFonts w:ascii="Arial" w:hAnsi="Arial" w:hint="default"/>
      </w:rPr>
    </w:lvl>
    <w:lvl w:ilvl="4" w:tplc="FA0AF792" w:tentative="1">
      <w:start w:val="1"/>
      <w:numFmt w:val="bullet"/>
      <w:lvlText w:val="•"/>
      <w:lvlJc w:val="left"/>
      <w:pPr>
        <w:tabs>
          <w:tab w:val="num" w:pos="3600"/>
        </w:tabs>
        <w:ind w:left="3600" w:hanging="360"/>
      </w:pPr>
      <w:rPr>
        <w:rFonts w:ascii="Arial" w:hAnsi="Arial" w:hint="default"/>
      </w:rPr>
    </w:lvl>
    <w:lvl w:ilvl="5" w:tplc="1EBA49B6" w:tentative="1">
      <w:start w:val="1"/>
      <w:numFmt w:val="bullet"/>
      <w:lvlText w:val="•"/>
      <w:lvlJc w:val="left"/>
      <w:pPr>
        <w:tabs>
          <w:tab w:val="num" w:pos="4320"/>
        </w:tabs>
        <w:ind w:left="4320" w:hanging="360"/>
      </w:pPr>
      <w:rPr>
        <w:rFonts w:ascii="Arial" w:hAnsi="Arial" w:hint="default"/>
      </w:rPr>
    </w:lvl>
    <w:lvl w:ilvl="6" w:tplc="5B66AA4E" w:tentative="1">
      <w:start w:val="1"/>
      <w:numFmt w:val="bullet"/>
      <w:lvlText w:val="•"/>
      <w:lvlJc w:val="left"/>
      <w:pPr>
        <w:tabs>
          <w:tab w:val="num" w:pos="5040"/>
        </w:tabs>
        <w:ind w:left="5040" w:hanging="360"/>
      </w:pPr>
      <w:rPr>
        <w:rFonts w:ascii="Arial" w:hAnsi="Arial" w:hint="default"/>
      </w:rPr>
    </w:lvl>
    <w:lvl w:ilvl="7" w:tplc="03C85C88" w:tentative="1">
      <w:start w:val="1"/>
      <w:numFmt w:val="bullet"/>
      <w:lvlText w:val="•"/>
      <w:lvlJc w:val="left"/>
      <w:pPr>
        <w:tabs>
          <w:tab w:val="num" w:pos="5760"/>
        </w:tabs>
        <w:ind w:left="5760" w:hanging="360"/>
      </w:pPr>
      <w:rPr>
        <w:rFonts w:ascii="Arial" w:hAnsi="Arial" w:hint="default"/>
      </w:rPr>
    </w:lvl>
    <w:lvl w:ilvl="8" w:tplc="47A6323C" w:tentative="1">
      <w:start w:val="1"/>
      <w:numFmt w:val="bullet"/>
      <w:lvlText w:val="•"/>
      <w:lvlJc w:val="left"/>
      <w:pPr>
        <w:tabs>
          <w:tab w:val="num" w:pos="6480"/>
        </w:tabs>
        <w:ind w:left="6480" w:hanging="360"/>
      </w:pPr>
      <w:rPr>
        <w:rFonts w:ascii="Arial" w:hAnsi="Arial" w:hint="default"/>
      </w:rPr>
    </w:lvl>
  </w:abstractNum>
  <w:abstractNum w:abstractNumId="4">
    <w:nsid w:val="70507545"/>
    <w:multiLevelType w:val="hybridMultilevel"/>
    <w:tmpl w:val="B816A50E"/>
    <w:lvl w:ilvl="0" w:tplc="AD8C6568">
      <w:start w:val="1"/>
      <w:numFmt w:val="decimal"/>
      <w:lvlText w:val="%1."/>
      <w:lvlJc w:val="center"/>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D376C88"/>
    <w:multiLevelType w:val="hybridMultilevel"/>
    <w:tmpl w:val="B73C27DE"/>
    <w:lvl w:ilvl="0" w:tplc="4009000F">
      <w:start w:val="1"/>
      <w:numFmt w:val="decimal"/>
      <w:lvlText w:val="%1."/>
      <w:lvlJc w:val="left"/>
      <w:pPr>
        <w:ind w:left="888" w:hanging="360"/>
      </w:pPr>
    </w:lvl>
    <w:lvl w:ilvl="1" w:tplc="40090019" w:tentative="1">
      <w:start w:val="1"/>
      <w:numFmt w:val="lowerLetter"/>
      <w:lvlText w:val="%2."/>
      <w:lvlJc w:val="left"/>
      <w:pPr>
        <w:ind w:left="1608" w:hanging="360"/>
      </w:pPr>
    </w:lvl>
    <w:lvl w:ilvl="2" w:tplc="4009001B" w:tentative="1">
      <w:start w:val="1"/>
      <w:numFmt w:val="lowerRoman"/>
      <w:lvlText w:val="%3."/>
      <w:lvlJc w:val="right"/>
      <w:pPr>
        <w:ind w:left="2328" w:hanging="180"/>
      </w:pPr>
    </w:lvl>
    <w:lvl w:ilvl="3" w:tplc="4009000F" w:tentative="1">
      <w:start w:val="1"/>
      <w:numFmt w:val="decimal"/>
      <w:lvlText w:val="%4."/>
      <w:lvlJc w:val="left"/>
      <w:pPr>
        <w:ind w:left="3048" w:hanging="360"/>
      </w:pPr>
    </w:lvl>
    <w:lvl w:ilvl="4" w:tplc="40090019" w:tentative="1">
      <w:start w:val="1"/>
      <w:numFmt w:val="lowerLetter"/>
      <w:lvlText w:val="%5."/>
      <w:lvlJc w:val="left"/>
      <w:pPr>
        <w:ind w:left="3768" w:hanging="360"/>
      </w:pPr>
    </w:lvl>
    <w:lvl w:ilvl="5" w:tplc="4009001B" w:tentative="1">
      <w:start w:val="1"/>
      <w:numFmt w:val="lowerRoman"/>
      <w:lvlText w:val="%6."/>
      <w:lvlJc w:val="right"/>
      <w:pPr>
        <w:ind w:left="4488" w:hanging="180"/>
      </w:pPr>
    </w:lvl>
    <w:lvl w:ilvl="6" w:tplc="4009000F" w:tentative="1">
      <w:start w:val="1"/>
      <w:numFmt w:val="decimal"/>
      <w:lvlText w:val="%7."/>
      <w:lvlJc w:val="left"/>
      <w:pPr>
        <w:ind w:left="5208" w:hanging="360"/>
      </w:pPr>
    </w:lvl>
    <w:lvl w:ilvl="7" w:tplc="40090019" w:tentative="1">
      <w:start w:val="1"/>
      <w:numFmt w:val="lowerLetter"/>
      <w:lvlText w:val="%8."/>
      <w:lvlJc w:val="left"/>
      <w:pPr>
        <w:ind w:left="5928" w:hanging="360"/>
      </w:pPr>
    </w:lvl>
    <w:lvl w:ilvl="8" w:tplc="4009001B" w:tentative="1">
      <w:start w:val="1"/>
      <w:numFmt w:val="lowerRoman"/>
      <w:lvlText w:val="%9."/>
      <w:lvlJc w:val="right"/>
      <w:pPr>
        <w:ind w:left="6648" w:hanging="180"/>
      </w:pPr>
    </w:lvl>
  </w:abstractNum>
  <w:abstractNum w:abstractNumId="6">
    <w:nsid w:val="7E0B4B93"/>
    <w:multiLevelType w:val="hybridMultilevel"/>
    <w:tmpl w:val="F24036DE"/>
    <w:lvl w:ilvl="0" w:tplc="40090001">
      <w:start w:val="1"/>
      <w:numFmt w:val="bullet"/>
      <w:lvlText w:val=""/>
      <w:lvlJc w:val="left"/>
      <w:pPr>
        <w:ind w:left="1172" w:hanging="360"/>
      </w:pPr>
      <w:rPr>
        <w:rFonts w:ascii="Symbol" w:hAnsi="Symbol" w:hint="default"/>
      </w:rPr>
    </w:lvl>
    <w:lvl w:ilvl="1" w:tplc="40090003" w:tentative="1">
      <w:start w:val="1"/>
      <w:numFmt w:val="bullet"/>
      <w:lvlText w:val="o"/>
      <w:lvlJc w:val="left"/>
      <w:pPr>
        <w:ind w:left="1892" w:hanging="360"/>
      </w:pPr>
      <w:rPr>
        <w:rFonts w:ascii="Courier New" w:hAnsi="Courier New" w:cs="Courier New" w:hint="default"/>
      </w:rPr>
    </w:lvl>
    <w:lvl w:ilvl="2" w:tplc="40090005" w:tentative="1">
      <w:start w:val="1"/>
      <w:numFmt w:val="bullet"/>
      <w:lvlText w:val=""/>
      <w:lvlJc w:val="left"/>
      <w:pPr>
        <w:ind w:left="2612" w:hanging="360"/>
      </w:pPr>
      <w:rPr>
        <w:rFonts w:ascii="Wingdings" w:hAnsi="Wingdings" w:hint="default"/>
      </w:rPr>
    </w:lvl>
    <w:lvl w:ilvl="3" w:tplc="40090001" w:tentative="1">
      <w:start w:val="1"/>
      <w:numFmt w:val="bullet"/>
      <w:lvlText w:val=""/>
      <w:lvlJc w:val="left"/>
      <w:pPr>
        <w:ind w:left="3332" w:hanging="360"/>
      </w:pPr>
      <w:rPr>
        <w:rFonts w:ascii="Symbol" w:hAnsi="Symbol" w:hint="default"/>
      </w:rPr>
    </w:lvl>
    <w:lvl w:ilvl="4" w:tplc="40090003" w:tentative="1">
      <w:start w:val="1"/>
      <w:numFmt w:val="bullet"/>
      <w:lvlText w:val="o"/>
      <w:lvlJc w:val="left"/>
      <w:pPr>
        <w:ind w:left="4052" w:hanging="360"/>
      </w:pPr>
      <w:rPr>
        <w:rFonts w:ascii="Courier New" w:hAnsi="Courier New" w:cs="Courier New" w:hint="default"/>
      </w:rPr>
    </w:lvl>
    <w:lvl w:ilvl="5" w:tplc="40090005" w:tentative="1">
      <w:start w:val="1"/>
      <w:numFmt w:val="bullet"/>
      <w:lvlText w:val=""/>
      <w:lvlJc w:val="left"/>
      <w:pPr>
        <w:ind w:left="4772" w:hanging="360"/>
      </w:pPr>
      <w:rPr>
        <w:rFonts w:ascii="Wingdings" w:hAnsi="Wingdings" w:hint="default"/>
      </w:rPr>
    </w:lvl>
    <w:lvl w:ilvl="6" w:tplc="40090001" w:tentative="1">
      <w:start w:val="1"/>
      <w:numFmt w:val="bullet"/>
      <w:lvlText w:val=""/>
      <w:lvlJc w:val="left"/>
      <w:pPr>
        <w:ind w:left="5492" w:hanging="360"/>
      </w:pPr>
      <w:rPr>
        <w:rFonts w:ascii="Symbol" w:hAnsi="Symbol" w:hint="default"/>
      </w:rPr>
    </w:lvl>
    <w:lvl w:ilvl="7" w:tplc="40090003" w:tentative="1">
      <w:start w:val="1"/>
      <w:numFmt w:val="bullet"/>
      <w:lvlText w:val="o"/>
      <w:lvlJc w:val="left"/>
      <w:pPr>
        <w:ind w:left="6212" w:hanging="360"/>
      </w:pPr>
      <w:rPr>
        <w:rFonts w:ascii="Courier New" w:hAnsi="Courier New" w:cs="Courier New" w:hint="default"/>
      </w:rPr>
    </w:lvl>
    <w:lvl w:ilvl="8" w:tplc="40090005" w:tentative="1">
      <w:start w:val="1"/>
      <w:numFmt w:val="bullet"/>
      <w:lvlText w:val=""/>
      <w:lvlJc w:val="left"/>
      <w:pPr>
        <w:ind w:left="6932" w:hanging="360"/>
      </w:pPr>
      <w:rPr>
        <w:rFonts w:ascii="Wingdings" w:hAnsi="Wingding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4"/>
  </w:num>
  <w:num w:numId="6">
    <w:abstractNumId w:val="6"/>
  </w:num>
  <w:num w:numId="7">
    <w:abstractNumId w:val="1"/>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20"/>
  <w:drawingGridHorizontalSpacing w:val="110"/>
  <w:displayHorizontalDrawingGridEvery w:val="2"/>
  <w:characterSpacingControl w:val="doNotCompress"/>
  <w:hdrShapeDefaults>
    <o:shapedefaults v:ext="edit" spidmax="7170"/>
    <o:shapelayout v:ext="edit">
      <o:idmap v:ext="edit" data="4"/>
    </o:shapelayout>
  </w:hdrShapeDefaults>
  <w:footnotePr>
    <w:footnote w:id="-1"/>
    <w:footnote w:id="0"/>
  </w:footnotePr>
  <w:endnotePr>
    <w:endnote w:id="-1"/>
    <w:endnote w:id="0"/>
  </w:endnotePr>
  <w:compat>
    <w:ulTrailSpace/>
  </w:compat>
  <w:rsids>
    <w:rsidRoot w:val="00AE3E37"/>
    <w:rsid w:val="000E2911"/>
    <w:rsid w:val="001263DF"/>
    <w:rsid w:val="00152033"/>
    <w:rsid w:val="001C5EEA"/>
    <w:rsid w:val="00292ED9"/>
    <w:rsid w:val="002A196B"/>
    <w:rsid w:val="002B2804"/>
    <w:rsid w:val="00303577"/>
    <w:rsid w:val="00404E5B"/>
    <w:rsid w:val="00414F7B"/>
    <w:rsid w:val="00424A12"/>
    <w:rsid w:val="00433446"/>
    <w:rsid w:val="004355DC"/>
    <w:rsid w:val="004749B4"/>
    <w:rsid w:val="00494130"/>
    <w:rsid w:val="004F3523"/>
    <w:rsid w:val="005973B9"/>
    <w:rsid w:val="005B3A56"/>
    <w:rsid w:val="006060CE"/>
    <w:rsid w:val="0063497F"/>
    <w:rsid w:val="0073645B"/>
    <w:rsid w:val="00746CCA"/>
    <w:rsid w:val="008364B5"/>
    <w:rsid w:val="00870DF9"/>
    <w:rsid w:val="00873DF0"/>
    <w:rsid w:val="008756E6"/>
    <w:rsid w:val="008B1A6B"/>
    <w:rsid w:val="008E37DF"/>
    <w:rsid w:val="008F134D"/>
    <w:rsid w:val="008F4931"/>
    <w:rsid w:val="00920362"/>
    <w:rsid w:val="009B2D44"/>
    <w:rsid w:val="009D1691"/>
    <w:rsid w:val="009F7A93"/>
    <w:rsid w:val="00A07E82"/>
    <w:rsid w:val="00A9710C"/>
    <w:rsid w:val="00AC3E38"/>
    <w:rsid w:val="00AE3E37"/>
    <w:rsid w:val="00B21A57"/>
    <w:rsid w:val="00BB688C"/>
    <w:rsid w:val="00BC5548"/>
    <w:rsid w:val="00C1549F"/>
    <w:rsid w:val="00C33602"/>
    <w:rsid w:val="00CD6F55"/>
    <w:rsid w:val="00DE1AF1"/>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9D1691"/>
    <w:pPr>
      <w:widowControl/>
      <w:spacing w:before="100" w:beforeAutospacing="1" w:after="100" w:afterAutospacing="1"/>
    </w:pPr>
    <w:rPr>
      <w:rFonts w:ascii="Times New Roman" w:eastAsia="Times New Roman" w:hAnsi="Times New Roman" w:cs="Times New Roman"/>
      <w:sz w:val="24"/>
      <w:szCs w:val="24"/>
      <w:lang w:val="en-IN" w:eastAsia="en-IN"/>
    </w:rPr>
  </w:style>
  <w:style w:type="table" w:styleId="TableGrid">
    <w:name w:val="Table Grid"/>
    <w:basedOn w:val="TableNormal"/>
    <w:uiPriority w:val="59"/>
    <w:rsid w:val="00BB688C"/>
    <w:pPr>
      <w:widowControl/>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12886705">
      <w:bodyDiv w:val="1"/>
      <w:marLeft w:val="0"/>
      <w:marRight w:val="0"/>
      <w:marTop w:val="0"/>
      <w:marBottom w:val="0"/>
      <w:divBdr>
        <w:top w:val="none" w:sz="0" w:space="0" w:color="auto"/>
        <w:left w:val="none" w:sz="0" w:space="0" w:color="auto"/>
        <w:bottom w:val="none" w:sz="0" w:space="0" w:color="auto"/>
        <w:right w:val="none" w:sz="0" w:space="0" w:color="auto"/>
      </w:divBdr>
      <w:divsChild>
        <w:div w:id="1191991553">
          <w:marLeft w:val="547"/>
          <w:marRight w:val="0"/>
          <w:marTop w:val="0"/>
          <w:marBottom w:val="0"/>
          <w:divBdr>
            <w:top w:val="none" w:sz="0" w:space="0" w:color="auto"/>
            <w:left w:val="none" w:sz="0" w:space="0" w:color="auto"/>
            <w:bottom w:val="none" w:sz="0" w:space="0" w:color="auto"/>
            <w:right w:val="none" w:sz="0" w:space="0" w:color="auto"/>
          </w:divBdr>
        </w:div>
        <w:div w:id="351221848">
          <w:marLeft w:val="547"/>
          <w:marRight w:val="0"/>
          <w:marTop w:val="0"/>
          <w:marBottom w:val="0"/>
          <w:divBdr>
            <w:top w:val="none" w:sz="0" w:space="0" w:color="auto"/>
            <w:left w:val="none" w:sz="0" w:space="0" w:color="auto"/>
            <w:bottom w:val="none" w:sz="0" w:space="0" w:color="auto"/>
            <w:right w:val="none" w:sz="0" w:space="0" w:color="auto"/>
          </w:divBdr>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136067917">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384092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2</Pages>
  <Words>567</Words>
  <Characters>3234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Toshiba-User</cp:lastModifiedBy>
  <cp:revision>10</cp:revision>
  <dcterms:created xsi:type="dcterms:W3CDTF">2021-06-24T06:01:00Z</dcterms:created>
  <dcterms:modified xsi:type="dcterms:W3CDTF">2021-06-24T07:25:00Z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