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24AC4" w14:textId="77777777" w:rsidR="00774EBD" w:rsidRPr="00774EBD" w:rsidRDefault="00774EBD" w:rsidP="00774EBD">
      <w:pPr>
        <w:contextualSpacing/>
        <w:jc w:val="thaiDistribute"/>
        <w:rPr>
          <w:rFonts w:ascii="TH SarabunPSK" w:eastAsia="Calibri" w:hAnsi="TH SarabunPSK" w:cs="TH SarabunPSK"/>
          <w:b/>
          <w:bCs/>
          <w:sz w:val="36"/>
          <w:szCs w:val="36"/>
        </w:rPr>
      </w:pPr>
      <w:r w:rsidRPr="00774EBD">
        <w:rPr>
          <w:rFonts w:ascii="TH SarabunPSK" w:eastAsia="Calibri" w:hAnsi="TH SarabunPSK" w:cs="TH SarabunPSK"/>
          <w:b/>
          <w:bCs/>
          <w:sz w:val="36"/>
          <w:szCs w:val="36"/>
        </w:rPr>
        <w:t>The Effectiveness of Simple Flowcharts for Easy Periodontal Diagnosis</w:t>
      </w:r>
      <w:r w:rsidRPr="00774EBD">
        <w:rPr>
          <w:rFonts w:ascii="TH SarabunPSK" w:eastAsia="Calibri" w:hAnsi="TH SarabunPSK" w:cs="TH SarabunPSK"/>
          <w:b/>
          <w:bCs/>
          <w:sz w:val="36"/>
          <w:szCs w:val="36"/>
        </w:rPr>
        <w:t xml:space="preserve"> </w:t>
      </w:r>
    </w:p>
    <w:p w14:paraId="156F2B59" w14:textId="2EEBD8A0" w:rsidR="00774EBD" w:rsidRPr="00774EBD" w:rsidRDefault="00774EBD" w:rsidP="00774EBD">
      <w:pPr>
        <w:contextualSpacing/>
        <w:jc w:val="thaiDistribute"/>
        <w:rPr>
          <w:rFonts w:ascii="TH SarabunPSK" w:eastAsia="Calibri" w:hAnsi="TH SarabunPSK" w:cs="TH SarabunPSK"/>
          <w:b/>
          <w:bCs/>
          <w:sz w:val="36"/>
          <w:szCs w:val="36"/>
        </w:rPr>
      </w:pPr>
      <w:r w:rsidRPr="00774EBD">
        <w:rPr>
          <w:rFonts w:ascii="TH SarabunPSK" w:eastAsia="Calibri" w:hAnsi="TH SarabunPSK" w:cs="TH SarabunPSK"/>
          <w:b/>
          <w:bCs/>
          <w:sz w:val="36"/>
          <w:szCs w:val="36"/>
        </w:rPr>
        <w:t>based on the 2018 New Periodontal Classification</w:t>
      </w:r>
    </w:p>
    <w:p w14:paraId="77780BDE" w14:textId="77777777" w:rsidR="00774EBD" w:rsidRPr="00513D06" w:rsidRDefault="00774EBD" w:rsidP="00774EBD">
      <w:pPr>
        <w:pStyle w:val="BodyText"/>
        <w:jc w:val="both"/>
        <w:rPr>
          <w:rFonts w:ascii="Arial"/>
          <w:szCs w:val="16"/>
        </w:rPr>
      </w:pPr>
      <w:proofErr w:type="spellStart"/>
      <w:r w:rsidRPr="00774EBD">
        <w:rPr>
          <w:rFonts w:ascii="Arial"/>
          <w:szCs w:val="16"/>
        </w:rPr>
        <w:t>Suphakan</w:t>
      </w:r>
      <w:proofErr w:type="spellEnd"/>
      <w:r w:rsidRPr="00774EBD">
        <w:rPr>
          <w:rFonts w:ascii="Arial"/>
          <w:szCs w:val="16"/>
        </w:rPr>
        <w:t xml:space="preserve"> </w:t>
      </w:r>
      <w:proofErr w:type="spellStart"/>
      <w:r w:rsidRPr="00774EBD">
        <w:rPr>
          <w:rFonts w:ascii="Arial"/>
          <w:szCs w:val="16"/>
        </w:rPr>
        <w:t>Pakdeesettakul</w:t>
      </w:r>
      <w:proofErr w:type="spellEnd"/>
      <w:r>
        <w:rPr>
          <w:rFonts w:ascii="Arial"/>
          <w:szCs w:val="16"/>
        </w:rPr>
        <w:t>, DDS</w:t>
      </w:r>
      <w:r w:rsidRPr="00513D06">
        <w:rPr>
          <w:rFonts w:ascii="Arial"/>
          <w:szCs w:val="16"/>
        </w:rPr>
        <w:t>, Department of Periodontology, Faculty of Dentistry, Chulalongkorn University, Bangkok, Thailand</w:t>
      </w:r>
    </w:p>
    <w:p w14:paraId="252E1E89" w14:textId="77777777" w:rsidR="00AE3E37" w:rsidRDefault="004E3BA7" w:rsidP="00513D06">
      <w:pPr>
        <w:pStyle w:val="BodyText"/>
        <w:jc w:val="both"/>
        <w:rPr>
          <w:rFonts w:ascii="Arial"/>
          <w:szCs w:val="16"/>
        </w:rPr>
      </w:pPr>
      <w:r w:rsidRPr="00513D06">
        <w:rPr>
          <w:rFonts w:ascii="Arial"/>
          <w:szCs w:val="16"/>
        </w:rPr>
        <w:t>Pimchanok Sutthiboonyapan, DDS, MS, Department of Periodontology, Faculty of Dentistry, Chulalongkorn University, Bangkok, Thailand</w:t>
      </w:r>
    </w:p>
    <w:p w14:paraId="4A51B9B8" w14:textId="77777777" w:rsidR="00AE3E37" w:rsidRDefault="00AE3E37">
      <w:pPr>
        <w:pStyle w:val="BodyText"/>
        <w:spacing w:before="3"/>
        <w:rPr>
          <w:rFonts w:ascii="Arial"/>
          <w:sz w:val="21"/>
        </w:rPr>
      </w:pPr>
    </w:p>
    <w:p w14:paraId="3C4EAC2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12FF624" w14:textId="77777777" w:rsidR="00AE3E37" w:rsidRDefault="00A9710C">
      <w:pPr>
        <w:pStyle w:val="Heading3"/>
        <w:spacing w:before="147"/>
        <w:jc w:val="both"/>
      </w:pPr>
      <w:r>
        <w:rPr>
          <w:color w:val="BF5A14"/>
        </w:rPr>
        <w:t>Abstract</w:t>
      </w:r>
      <w:r w:rsidR="00404E5B">
        <w:rPr>
          <w:color w:val="BF5A14"/>
        </w:rPr>
        <w:t xml:space="preserve"> (300 word limit)</w:t>
      </w:r>
    </w:p>
    <w:p w14:paraId="6B762B45" w14:textId="105217B1" w:rsidR="00774EBD" w:rsidRPr="00774EBD" w:rsidRDefault="00A9710C" w:rsidP="00774EBD">
      <w:pPr>
        <w:pStyle w:val="BodyText"/>
        <w:spacing w:before="90" w:line="276" w:lineRule="auto"/>
        <w:ind w:left="100"/>
        <w:jc w:val="both"/>
        <w:rPr>
          <w:lang w:val="en-GB"/>
        </w:rPr>
      </w:pPr>
      <w:r w:rsidRPr="00443816">
        <w:rPr>
          <w:b/>
          <w:bCs/>
        </w:rPr>
        <w:t>Statement of the Problem:</w:t>
      </w:r>
      <w:r>
        <w:t xml:space="preserve"> </w:t>
      </w:r>
      <w:r w:rsidR="00774EBD" w:rsidRPr="00774EBD">
        <w:rPr>
          <w:rFonts w:hint="cs"/>
          <w:lang w:val="en-GB"/>
        </w:rPr>
        <w:t xml:space="preserve">The significant amount of detail and major changes in the published 2018 new periodontal classification was challenging for clinicians to assign periodontal diagnosis in clinical practice. The </w:t>
      </w:r>
      <w:r w:rsidR="00774EBD" w:rsidRPr="00774EBD">
        <w:rPr>
          <w:lang w:val="en-GB"/>
        </w:rPr>
        <w:t xml:space="preserve">simple </w:t>
      </w:r>
      <w:r w:rsidR="00774EBD" w:rsidRPr="00774EBD">
        <w:rPr>
          <w:rFonts w:hint="cs"/>
          <w:lang w:val="en-GB"/>
        </w:rPr>
        <w:t>flowcharts for easy periodontal diagnosis were proposed to overcome this challenge.</w:t>
      </w:r>
      <w:r w:rsidR="00774EBD">
        <w:rPr>
          <w:lang w:val="en-GB"/>
        </w:rPr>
        <w:t xml:space="preserve"> </w:t>
      </w:r>
      <w:r w:rsidR="00774EBD" w:rsidRPr="00774EBD">
        <w:rPr>
          <w:lang w:val="en-GB"/>
        </w:rPr>
        <w:t>This study aimed to evaluate the effectiveness of the proposed flowcharts for periodontal diagnosis based on the 2018 new periodontal classification.</w:t>
      </w:r>
    </w:p>
    <w:p w14:paraId="6AAE6A9C" w14:textId="77777777" w:rsidR="00774EBD" w:rsidRDefault="00A9710C" w:rsidP="00E6584F">
      <w:pPr>
        <w:pStyle w:val="BodyText"/>
        <w:spacing w:before="90" w:line="276" w:lineRule="auto"/>
        <w:ind w:left="100"/>
        <w:jc w:val="both"/>
      </w:pPr>
      <w:r w:rsidRPr="00443816">
        <w:rPr>
          <w:b/>
          <w:bCs/>
        </w:rPr>
        <w:t>Methodolog</w:t>
      </w:r>
      <w:r w:rsidR="008756E6" w:rsidRPr="00443816">
        <w:rPr>
          <w:b/>
          <w:bCs/>
        </w:rPr>
        <w:t>y &amp; Theoretical Orientation</w:t>
      </w:r>
      <w:r w:rsidR="008756E6">
        <w:t>:</w:t>
      </w:r>
      <w:r w:rsidR="008B5541">
        <w:t xml:space="preserve"> </w:t>
      </w:r>
      <w:r w:rsidR="00774EBD" w:rsidRPr="00774EBD">
        <w:t xml:space="preserve">152 participants consisting of periodontists, postgraduate dental students in periodontology and dental students assigned periodontal diagnosis for 30 case scenarios in 2 experimental sections, with the use of flowcharts and with the use of the published consensus reports. The self-confident questionnaire was completed at the end of each section. The additional questionnaire about the participants’ perception of the flowcharts was completed one time at the end. The accuracy of the diagnosis, the time used and participants’ confidence for assigning diagnosis were compared between groups using the flowcharts and without using the flowcharts. </w:t>
      </w:r>
      <w:r w:rsidR="008B5541">
        <w:t xml:space="preserve"> </w:t>
      </w:r>
      <w:r w:rsidR="008B5541" w:rsidRPr="008B5541">
        <w:rPr>
          <w:b/>
          <w:bCs/>
        </w:rPr>
        <w:t>Findings:</w:t>
      </w:r>
      <w:r w:rsidR="00774EBD">
        <w:t xml:space="preserve"> </w:t>
      </w:r>
      <w:r w:rsidR="00774EBD" w:rsidRPr="00774EBD">
        <w:t xml:space="preserve">The diagnosis obtained with the use of flowcharts was significantly more accurate than using consensus reports (58.24% vs 55.79%; p = .010). When using flowcharts, participants could diagnose periodontitis cases significantly more accurate compared with when using consensus reports (85.63% vs 84.06%; p = .004). The mean time used for diagnosis between using flowcharts and using consensus reports was not significantly different (p = .291). The mean self-confident scores increased when using flowcharts for assigning the diagnosis. The mean perception scores in usefulness, easiness and application of flowcharts were 4.23-4.41 out of 5. </w:t>
      </w:r>
    </w:p>
    <w:p w14:paraId="18029AF9" w14:textId="25E1A8DC" w:rsidR="00AE3E37" w:rsidRDefault="00A9710C" w:rsidP="00E6584F">
      <w:pPr>
        <w:pStyle w:val="BodyText"/>
        <w:spacing w:before="90" w:line="276" w:lineRule="auto"/>
        <w:ind w:left="100"/>
        <w:jc w:val="both"/>
        <w:rPr>
          <w:color w:val="BF5A14"/>
        </w:rPr>
      </w:pPr>
      <w:r w:rsidRPr="00443816">
        <w:rPr>
          <w:b/>
          <w:bCs/>
        </w:rPr>
        <w:t>Conclusion &amp; Significance:</w:t>
      </w:r>
      <w:r>
        <w:t xml:space="preserve"> </w:t>
      </w:r>
      <w:r w:rsidR="00774EBD" w:rsidRPr="00774EBD">
        <w:t>The proposed simple flowcharts are user-friendly tools that can aid clinicians to accurately assign periodontal diagnosis and improve clinicians’ confidence in assigning the new periodontal diagnosis based upon the 2018 periodontal classification.</w:t>
      </w:r>
      <w:r>
        <w:br w:type="column"/>
      </w:r>
    </w:p>
    <w:p w14:paraId="14E97F3B" w14:textId="3FCA15C4" w:rsidR="005973B9" w:rsidRDefault="005973B9" w:rsidP="005973B9">
      <w:pPr>
        <w:spacing w:line="204" w:lineRule="exact"/>
        <w:rPr>
          <w:rFonts w:ascii="Arial"/>
          <w:b/>
          <w:sz w:val="20"/>
        </w:rPr>
      </w:pPr>
      <w:r>
        <w:rPr>
          <w:rFonts w:ascii="Arial"/>
          <w:b/>
          <w:color w:val="BF5A14"/>
          <w:sz w:val="20"/>
        </w:rPr>
        <w:t>Recent Publications (minimum 5)</w:t>
      </w:r>
    </w:p>
    <w:p w14:paraId="5CC2BEEB" w14:textId="77777777" w:rsidR="008203DC" w:rsidRPr="00A70CF6" w:rsidRDefault="008203DC" w:rsidP="00A70CF6">
      <w:pPr>
        <w:pStyle w:val="ListParagraph"/>
        <w:numPr>
          <w:ilvl w:val="0"/>
          <w:numId w:val="3"/>
        </w:numPr>
        <w:rPr>
          <w:rFonts w:ascii="Tw Cen MT" w:hAnsi="Tw Cen MT"/>
          <w:color w:val="000000" w:themeColor="text1"/>
          <w:sz w:val="18"/>
          <w:szCs w:val="18"/>
        </w:rPr>
      </w:pPr>
      <w:proofErr w:type="spellStart"/>
      <w:r w:rsidRPr="00A70CF6">
        <w:rPr>
          <w:rFonts w:ascii="Tw Cen MT" w:eastAsia="TH SarabunPSK" w:hAnsi="Tw Cen MT"/>
          <w:color w:val="000000" w:themeColor="text1"/>
          <w:sz w:val="18"/>
          <w:szCs w:val="18"/>
        </w:rPr>
        <w:t>Kungsadalpipob</w:t>
      </w:r>
      <w:proofErr w:type="spellEnd"/>
      <w:r w:rsidRPr="00A70CF6">
        <w:rPr>
          <w:rFonts w:ascii="Tw Cen MT" w:eastAsia="TH SarabunPSK" w:hAnsi="Tw Cen MT"/>
          <w:color w:val="000000" w:themeColor="text1"/>
          <w:sz w:val="18"/>
          <w:szCs w:val="18"/>
        </w:rPr>
        <w:t xml:space="preserve"> K, </w:t>
      </w:r>
      <w:proofErr w:type="spellStart"/>
      <w:r w:rsidRPr="00A70CF6">
        <w:rPr>
          <w:rFonts w:ascii="Tw Cen MT" w:eastAsia="TH SarabunPSK" w:hAnsi="Tw Cen MT"/>
          <w:color w:val="000000" w:themeColor="text1"/>
          <w:sz w:val="18"/>
          <w:szCs w:val="18"/>
        </w:rPr>
        <w:t>Jamsakorn</w:t>
      </w:r>
      <w:proofErr w:type="spellEnd"/>
      <w:r w:rsidRPr="00A70CF6">
        <w:rPr>
          <w:rFonts w:ascii="Tw Cen MT" w:eastAsia="TH SarabunPSK" w:hAnsi="Tw Cen MT"/>
          <w:color w:val="000000" w:themeColor="text1"/>
          <w:sz w:val="18"/>
          <w:szCs w:val="18"/>
        </w:rPr>
        <w:t xml:space="preserve"> K, </w:t>
      </w:r>
      <w:proofErr w:type="spellStart"/>
      <w:r w:rsidRPr="00A70CF6">
        <w:rPr>
          <w:rFonts w:ascii="Tw Cen MT" w:eastAsia="TH SarabunPSK" w:hAnsi="Tw Cen MT"/>
          <w:color w:val="000000" w:themeColor="text1"/>
          <w:sz w:val="18"/>
          <w:szCs w:val="18"/>
        </w:rPr>
        <w:t>Pumnil</w:t>
      </w:r>
      <w:proofErr w:type="spellEnd"/>
      <w:r w:rsidRPr="00A70CF6">
        <w:rPr>
          <w:rFonts w:ascii="Tw Cen MT" w:eastAsia="TH SarabunPSK" w:hAnsi="Tw Cen MT"/>
          <w:color w:val="000000" w:themeColor="text1"/>
          <w:sz w:val="18"/>
          <w:szCs w:val="18"/>
        </w:rPr>
        <w:t xml:space="preserve"> S, </w:t>
      </w:r>
      <w:r w:rsidRPr="00A70CF6">
        <w:rPr>
          <w:rFonts w:ascii="Tw Cen MT" w:eastAsia="TH SarabunPSK" w:hAnsi="Tw Cen MT"/>
          <w:b/>
          <w:bCs/>
          <w:color w:val="000000" w:themeColor="text1"/>
          <w:sz w:val="18"/>
          <w:szCs w:val="18"/>
        </w:rPr>
        <w:t>Sutthiboonyapan P</w:t>
      </w:r>
      <w:r w:rsidRPr="00A70CF6">
        <w:rPr>
          <w:rFonts w:ascii="Tw Cen MT" w:eastAsia="TH SarabunPSK" w:hAnsi="Tw Cen MT"/>
          <w:color w:val="000000" w:themeColor="text1"/>
          <w:sz w:val="18"/>
          <w:szCs w:val="18"/>
        </w:rPr>
        <w:t xml:space="preserve">. "Analysis of Maxillary Incisor Tooth Dimensions and Gingival Phenotype in Thai Young Adults." </w:t>
      </w:r>
      <w:r w:rsidRPr="00A70CF6">
        <w:rPr>
          <w:rFonts w:ascii="Tw Cen MT" w:eastAsia="TH SarabunPSK" w:hAnsi="Tw Cen MT"/>
          <w:color w:val="000000" w:themeColor="text1"/>
          <w:sz w:val="18"/>
          <w:szCs w:val="18"/>
          <w:u w:val="single"/>
        </w:rPr>
        <w:t xml:space="preserve">Journal Dental Association of Thailand </w:t>
      </w:r>
      <w:r w:rsidRPr="00A70CF6">
        <w:rPr>
          <w:rFonts w:ascii="Tw Cen MT" w:eastAsia="TH SarabunPSK" w:hAnsi="Tw Cen MT"/>
          <w:color w:val="000000" w:themeColor="text1"/>
          <w:sz w:val="18"/>
          <w:szCs w:val="18"/>
        </w:rPr>
        <w:t>70,3,Jul(2020):209-215</w:t>
      </w:r>
    </w:p>
    <w:p w14:paraId="362317F6" w14:textId="77777777" w:rsidR="005973B9" w:rsidRPr="00A70CF6" w:rsidRDefault="008203DC" w:rsidP="00A70CF6">
      <w:pPr>
        <w:pStyle w:val="ListParagraph"/>
        <w:numPr>
          <w:ilvl w:val="0"/>
          <w:numId w:val="3"/>
        </w:numPr>
        <w:tabs>
          <w:tab w:val="left" w:pos="384"/>
        </w:tabs>
        <w:spacing w:before="103" w:line="216" w:lineRule="exact"/>
        <w:ind w:right="138" w:hanging="283"/>
        <w:rPr>
          <w:rFonts w:ascii="Tw Cen MT" w:hAnsi="Tw Cen MT"/>
          <w:sz w:val="18"/>
          <w:szCs w:val="18"/>
        </w:rPr>
      </w:pPr>
      <w:r w:rsidRPr="00A70CF6">
        <w:rPr>
          <w:rFonts w:ascii="Tw Cen MT" w:hAnsi="Tw Cen MT"/>
          <w:b/>
          <w:bCs/>
          <w:sz w:val="18"/>
          <w:szCs w:val="18"/>
        </w:rPr>
        <w:t>Sutthiboonyapan P.</w:t>
      </w:r>
      <w:r w:rsidRPr="00A70CF6">
        <w:rPr>
          <w:rFonts w:ascii="Tw Cen MT" w:hAnsi="Tw Cen MT"/>
          <w:sz w:val="18"/>
          <w:szCs w:val="18"/>
        </w:rPr>
        <w:t xml:space="preserve">, Wang HL., </w:t>
      </w:r>
      <w:proofErr w:type="spellStart"/>
      <w:r w:rsidRPr="00A70CF6">
        <w:rPr>
          <w:rFonts w:ascii="Tw Cen MT" w:hAnsi="Tw Cen MT"/>
          <w:sz w:val="18"/>
          <w:szCs w:val="18"/>
        </w:rPr>
        <w:t>Charatkulangkun</w:t>
      </w:r>
      <w:proofErr w:type="spellEnd"/>
      <w:r w:rsidRPr="00A70CF6">
        <w:rPr>
          <w:rFonts w:ascii="Tw Cen MT" w:hAnsi="Tw Cen MT"/>
          <w:sz w:val="18"/>
          <w:szCs w:val="18"/>
        </w:rPr>
        <w:t xml:space="preserve"> O.. "Flowcharts for Easy Periodontal Diagnosis Based on the 2018 New Periodontal Classification." </w:t>
      </w:r>
      <w:r w:rsidRPr="00A70CF6">
        <w:rPr>
          <w:rFonts w:ascii="Tw Cen MT" w:hAnsi="Tw Cen MT"/>
          <w:sz w:val="18"/>
          <w:szCs w:val="18"/>
          <w:u w:val="single"/>
        </w:rPr>
        <w:t>Clinical Advances in Periodontics</w:t>
      </w:r>
      <w:r w:rsidRPr="00A70CF6">
        <w:rPr>
          <w:rFonts w:ascii="Tw Cen MT" w:hAnsi="Tw Cen MT"/>
          <w:sz w:val="18"/>
          <w:szCs w:val="18"/>
        </w:rPr>
        <w:t xml:space="preserve"> 10,3,Sep(2020):155-160</w:t>
      </w:r>
      <w:r w:rsidR="00A70CF6">
        <w:rPr>
          <w:rFonts w:ascii="Tw Cen MT" w:hAnsi="Tw Cen MT"/>
          <w:sz w:val="18"/>
          <w:szCs w:val="18"/>
        </w:rPr>
        <w:t xml:space="preserve"> </w:t>
      </w:r>
      <w:r w:rsidRPr="00A70CF6">
        <w:rPr>
          <w:rFonts w:ascii="Tw Cen MT" w:hAnsi="Tw Cen MT"/>
          <w:sz w:val="18"/>
          <w:szCs w:val="18"/>
        </w:rPr>
        <w:t>DOI:10.1002/cap.10095ISSN:25738046</w:t>
      </w:r>
    </w:p>
    <w:p w14:paraId="7B5B02FE" w14:textId="77777777" w:rsidR="008203DC" w:rsidRPr="00A70CF6" w:rsidRDefault="008203DC" w:rsidP="00A70CF6">
      <w:pPr>
        <w:pStyle w:val="ListParagraph"/>
        <w:numPr>
          <w:ilvl w:val="0"/>
          <w:numId w:val="3"/>
        </w:numPr>
        <w:tabs>
          <w:tab w:val="left" w:pos="384"/>
        </w:tabs>
        <w:spacing w:line="216" w:lineRule="exact"/>
        <w:ind w:right="138" w:hanging="283"/>
        <w:rPr>
          <w:rFonts w:ascii="Tw Cen MT" w:hAnsi="Tw Cen MT"/>
          <w:sz w:val="18"/>
          <w:szCs w:val="18"/>
        </w:rPr>
      </w:pPr>
      <w:r w:rsidRPr="00A70CF6">
        <w:rPr>
          <w:rFonts w:ascii="Tw Cen MT" w:hAnsi="Tw Cen MT"/>
          <w:b/>
          <w:bCs/>
          <w:sz w:val="18"/>
          <w:szCs w:val="18"/>
        </w:rPr>
        <w:t>Sutthiboonyapan P</w:t>
      </w:r>
      <w:r w:rsidRPr="00A70CF6">
        <w:rPr>
          <w:rFonts w:ascii="Tw Cen MT" w:hAnsi="Tw Cen MT"/>
          <w:sz w:val="18"/>
          <w:szCs w:val="18"/>
        </w:rPr>
        <w:t xml:space="preserve">, </w:t>
      </w:r>
      <w:proofErr w:type="spellStart"/>
      <w:r w:rsidRPr="00A70CF6">
        <w:rPr>
          <w:rFonts w:ascii="Tw Cen MT" w:hAnsi="Tw Cen MT"/>
          <w:sz w:val="18"/>
          <w:szCs w:val="18"/>
        </w:rPr>
        <w:t>Arsathong</w:t>
      </w:r>
      <w:proofErr w:type="spellEnd"/>
      <w:r w:rsidRPr="00A70CF6">
        <w:rPr>
          <w:rFonts w:ascii="Tw Cen MT" w:hAnsi="Tw Cen MT"/>
          <w:sz w:val="18"/>
          <w:szCs w:val="18"/>
        </w:rPr>
        <w:t xml:space="preserve"> K, </w:t>
      </w:r>
      <w:proofErr w:type="spellStart"/>
      <w:r w:rsidRPr="00A70CF6">
        <w:rPr>
          <w:rFonts w:ascii="Tw Cen MT" w:hAnsi="Tw Cen MT"/>
          <w:sz w:val="18"/>
          <w:szCs w:val="18"/>
        </w:rPr>
        <w:t>Phuensuriya</w:t>
      </w:r>
      <w:proofErr w:type="spellEnd"/>
      <w:r w:rsidRPr="00A70CF6">
        <w:rPr>
          <w:rFonts w:ascii="Tw Cen MT" w:hAnsi="Tw Cen MT"/>
          <w:sz w:val="18"/>
          <w:szCs w:val="18"/>
        </w:rPr>
        <w:t xml:space="preserve"> J, </w:t>
      </w:r>
      <w:proofErr w:type="spellStart"/>
      <w:r w:rsidRPr="00A70CF6">
        <w:rPr>
          <w:rFonts w:ascii="Tw Cen MT" w:hAnsi="Tw Cen MT"/>
          <w:sz w:val="18"/>
          <w:szCs w:val="18"/>
        </w:rPr>
        <w:t>Fuengfu</w:t>
      </w:r>
      <w:proofErr w:type="spellEnd"/>
      <w:r w:rsidRPr="00A70CF6">
        <w:rPr>
          <w:rFonts w:ascii="Tw Cen MT" w:hAnsi="Tw Cen MT"/>
          <w:sz w:val="18"/>
          <w:szCs w:val="18"/>
        </w:rPr>
        <w:t xml:space="preserve"> J, Wang H-L and </w:t>
      </w:r>
      <w:proofErr w:type="spellStart"/>
      <w:r w:rsidRPr="00A70CF6">
        <w:rPr>
          <w:rFonts w:ascii="Tw Cen MT" w:hAnsi="Tw Cen MT"/>
          <w:sz w:val="18"/>
          <w:szCs w:val="18"/>
        </w:rPr>
        <w:t>Kungsadalpipob</w:t>
      </w:r>
      <w:proofErr w:type="spellEnd"/>
      <w:r w:rsidRPr="00A70CF6">
        <w:rPr>
          <w:rFonts w:ascii="Tw Cen MT" w:hAnsi="Tw Cen MT"/>
          <w:sz w:val="18"/>
          <w:szCs w:val="18"/>
        </w:rPr>
        <w:t xml:space="preserve"> K. "Characteristics of Gingival Biotype of Maxillary Incisors in Thai Young Adults." </w:t>
      </w:r>
      <w:r w:rsidRPr="00A70CF6">
        <w:rPr>
          <w:rFonts w:ascii="Tw Cen MT" w:hAnsi="Tw Cen MT"/>
          <w:sz w:val="18"/>
          <w:szCs w:val="18"/>
          <w:u w:val="single"/>
        </w:rPr>
        <w:t>Journal Dental Association of Thailand</w:t>
      </w:r>
      <w:r w:rsidRPr="00A70CF6">
        <w:rPr>
          <w:rFonts w:ascii="Tw Cen MT" w:hAnsi="Tw Cen MT"/>
          <w:sz w:val="18"/>
          <w:szCs w:val="18"/>
        </w:rPr>
        <w:t xml:space="preserve"> 69,3,Jul(2019):303-311</w:t>
      </w:r>
    </w:p>
    <w:p w14:paraId="6D8EC72D" w14:textId="77777777" w:rsidR="008203DC" w:rsidRPr="00A70CF6" w:rsidRDefault="008203DC" w:rsidP="00A70CF6">
      <w:pPr>
        <w:pStyle w:val="ListParagraph"/>
        <w:numPr>
          <w:ilvl w:val="0"/>
          <w:numId w:val="3"/>
        </w:numPr>
        <w:tabs>
          <w:tab w:val="left" w:pos="384"/>
        </w:tabs>
        <w:spacing w:line="216" w:lineRule="exact"/>
        <w:ind w:right="138" w:hanging="283"/>
        <w:rPr>
          <w:rFonts w:ascii="Tw Cen MT" w:hAnsi="Tw Cen MT"/>
          <w:sz w:val="18"/>
          <w:szCs w:val="18"/>
        </w:rPr>
      </w:pPr>
      <w:r w:rsidRPr="00A70CF6">
        <w:rPr>
          <w:rFonts w:ascii="Tw Cen MT" w:hAnsi="Tw Cen MT"/>
          <w:b/>
          <w:bCs/>
          <w:sz w:val="18"/>
          <w:szCs w:val="18"/>
        </w:rPr>
        <w:t>Sutthiboonyapan P</w:t>
      </w:r>
      <w:r w:rsidRPr="00A70CF6">
        <w:rPr>
          <w:rFonts w:ascii="Tw Cen MT" w:hAnsi="Tw Cen MT"/>
          <w:sz w:val="18"/>
          <w:szCs w:val="18"/>
        </w:rPr>
        <w:t xml:space="preserve">, Wang H-L. "Occlusal Splints and Periodontal/Implant Therapy." </w:t>
      </w:r>
      <w:r w:rsidRPr="00A70CF6">
        <w:rPr>
          <w:rFonts w:ascii="Tw Cen MT" w:hAnsi="Tw Cen MT"/>
          <w:sz w:val="18"/>
          <w:szCs w:val="18"/>
          <w:u w:val="single"/>
        </w:rPr>
        <w:t>Journal International Academy of Periodontology</w:t>
      </w:r>
      <w:r w:rsidRPr="00A70CF6">
        <w:rPr>
          <w:rFonts w:ascii="Tw Cen MT" w:hAnsi="Tw Cen MT"/>
          <w:sz w:val="18"/>
          <w:szCs w:val="18"/>
        </w:rPr>
        <w:t xml:space="preserve"> 21,1,Jan(2019):45-50</w:t>
      </w:r>
    </w:p>
    <w:p w14:paraId="197C01C3" w14:textId="77777777" w:rsidR="00AE3E37" w:rsidRPr="008756E6" w:rsidRDefault="005973B9" w:rsidP="00A70CF6">
      <w:pPr>
        <w:pStyle w:val="BodyText"/>
        <w:spacing w:before="85" w:line="216" w:lineRule="exact"/>
        <w:ind w:left="383" w:right="138" w:hanging="284"/>
        <w:jc w:val="both"/>
      </w:pPr>
      <w:r w:rsidRPr="00A70CF6">
        <w:t xml:space="preserve">5. </w:t>
      </w:r>
      <w:r w:rsidR="002B2804" w:rsidRPr="00A70CF6">
        <w:t xml:space="preserve">  </w:t>
      </w:r>
      <w:proofErr w:type="spellStart"/>
      <w:r w:rsidR="00A70CF6" w:rsidRPr="00A70CF6">
        <w:rPr>
          <w:rFonts w:eastAsia="TH SarabunPSK"/>
          <w:color w:val="000000" w:themeColor="text1"/>
        </w:rPr>
        <w:t>Ateia</w:t>
      </w:r>
      <w:proofErr w:type="spellEnd"/>
      <w:r w:rsidR="00A70CF6" w:rsidRPr="00A70CF6">
        <w:rPr>
          <w:rFonts w:eastAsia="TH SarabunPSK"/>
          <w:color w:val="000000" w:themeColor="text1"/>
        </w:rPr>
        <w:t xml:space="preserve"> IM, </w:t>
      </w:r>
      <w:r w:rsidR="00A70CF6" w:rsidRPr="00A70CF6">
        <w:rPr>
          <w:rFonts w:eastAsia="TH SarabunPSK"/>
          <w:b/>
          <w:bCs/>
          <w:color w:val="000000" w:themeColor="text1"/>
        </w:rPr>
        <w:t>Sutthiboonyapan P</w:t>
      </w:r>
      <w:r w:rsidR="00A70CF6" w:rsidRPr="00A70CF6">
        <w:rPr>
          <w:rFonts w:eastAsia="TH SarabunPSK"/>
          <w:color w:val="000000" w:themeColor="text1"/>
        </w:rPr>
        <w:t xml:space="preserve">, </w:t>
      </w:r>
      <w:proofErr w:type="spellStart"/>
      <w:r w:rsidR="00A70CF6" w:rsidRPr="00A70CF6">
        <w:rPr>
          <w:rFonts w:eastAsia="TH SarabunPSK"/>
          <w:color w:val="000000" w:themeColor="text1"/>
        </w:rPr>
        <w:t>Kamarajan</w:t>
      </w:r>
      <w:proofErr w:type="spellEnd"/>
      <w:r w:rsidR="00A70CF6" w:rsidRPr="00A70CF6">
        <w:rPr>
          <w:rFonts w:eastAsia="TH SarabunPSK"/>
          <w:color w:val="000000" w:themeColor="text1"/>
        </w:rPr>
        <w:t xml:space="preserve"> P, </w:t>
      </w:r>
      <w:proofErr w:type="spellStart"/>
      <w:r w:rsidR="00A70CF6" w:rsidRPr="00A70CF6">
        <w:rPr>
          <w:rFonts w:eastAsia="TH SarabunPSK"/>
          <w:color w:val="000000" w:themeColor="text1"/>
        </w:rPr>
        <w:t>Jin</w:t>
      </w:r>
      <w:proofErr w:type="spellEnd"/>
      <w:r w:rsidR="00A70CF6" w:rsidRPr="00A70CF6">
        <w:rPr>
          <w:rFonts w:eastAsia="TH SarabunPSK"/>
          <w:color w:val="000000" w:themeColor="text1"/>
        </w:rPr>
        <w:t xml:space="preserve"> T, </w:t>
      </w:r>
      <w:proofErr w:type="spellStart"/>
      <w:r w:rsidR="00A70CF6" w:rsidRPr="00A70CF6">
        <w:rPr>
          <w:rFonts w:eastAsia="TH SarabunPSK"/>
          <w:color w:val="000000" w:themeColor="text1"/>
        </w:rPr>
        <w:t>Godovikova</w:t>
      </w:r>
      <w:proofErr w:type="spellEnd"/>
      <w:r w:rsidR="00A70CF6" w:rsidRPr="00A70CF6">
        <w:rPr>
          <w:rFonts w:eastAsia="TH SarabunPSK"/>
          <w:color w:val="000000" w:themeColor="text1"/>
        </w:rPr>
        <w:t xml:space="preserve"> V, Kapila YL, </w:t>
      </w:r>
      <w:proofErr w:type="spellStart"/>
      <w:r w:rsidR="00A70CF6" w:rsidRPr="00A70CF6">
        <w:rPr>
          <w:rFonts w:eastAsia="TH SarabunPSK"/>
          <w:color w:val="000000" w:themeColor="text1"/>
        </w:rPr>
        <w:t>Fenno</w:t>
      </w:r>
      <w:proofErr w:type="spellEnd"/>
      <w:r w:rsidR="00A70CF6" w:rsidRPr="00A70CF6">
        <w:rPr>
          <w:rFonts w:eastAsia="TH SarabunPSK"/>
          <w:color w:val="000000" w:themeColor="text1"/>
        </w:rPr>
        <w:t xml:space="preserve"> JC. "Treponema </w:t>
      </w:r>
      <w:proofErr w:type="spellStart"/>
      <w:r w:rsidR="00A70CF6" w:rsidRPr="00A70CF6">
        <w:rPr>
          <w:rFonts w:eastAsia="TH SarabunPSK"/>
          <w:color w:val="000000" w:themeColor="text1"/>
        </w:rPr>
        <w:t>denticola</w:t>
      </w:r>
      <w:proofErr w:type="spellEnd"/>
      <w:r w:rsidR="00A70CF6" w:rsidRPr="00A70CF6">
        <w:rPr>
          <w:rFonts w:eastAsia="TH SarabunPSK"/>
          <w:color w:val="000000" w:themeColor="text1"/>
        </w:rPr>
        <w:t xml:space="preserve"> increases MMP-2 expression and activation in the periodontium via reversible DNA and histone modifications." </w:t>
      </w:r>
      <w:r w:rsidR="00A70CF6" w:rsidRPr="00A70CF6">
        <w:rPr>
          <w:rFonts w:eastAsia="TH SarabunPSK"/>
          <w:color w:val="000000" w:themeColor="text1"/>
          <w:u w:val="single"/>
        </w:rPr>
        <w:t>Cellular Microbiology</w:t>
      </w:r>
      <w:r w:rsidR="00A70CF6" w:rsidRPr="00A70CF6">
        <w:rPr>
          <w:rFonts w:eastAsia="TH SarabunPSK"/>
          <w:color w:val="000000" w:themeColor="text1"/>
        </w:rPr>
        <w:t xml:space="preserve"> 20,4,Apr(2018):1-17 DOI:10.1111/cmi.12815ISSN:14625814</w:t>
      </w:r>
    </w:p>
    <w:p w14:paraId="455C456B"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FE000D2" w14:textId="77777777" w:rsidR="00AE3E37" w:rsidRDefault="00AE3E37">
      <w:pPr>
        <w:pStyle w:val="BodyText"/>
        <w:rPr>
          <w:rFonts w:ascii="Calibri"/>
          <w:sz w:val="20"/>
        </w:rPr>
      </w:pPr>
    </w:p>
    <w:p w14:paraId="4F8C6828" w14:textId="1D0103DA"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389AE73" wp14:editId="7AABE1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AC83C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884A7B6" w14:textId="54CA66E0" w:rsidR="002A196B" w:rsidRDefault="00774EBD" w:rsidP="00404E5B">
      <w:pPr>
        <w:spacing w:before="92"/>
        <w:ind w:right="4234"/>
        <w:rPr>
          <w:noProof/>
        </w:rPr>
      </w:pPr>
      <w:r>
        <w:rPr>
          <w:noProof/>
        </w:rPr>
        <w:drawing>
          <wp:anchor distT="0" distB="0" distL="114300" distR="114300" simplePos="0" relativeHeight="251658240" behindDoc="0" locked="0" layoutInCell="1" allowOverlap="1" wp14:anchorId="0B74D5ED" wp14:editId="2209AF6F">
            <wp:simplePos x="0" y="0"/>
            <wp:positionH relativeFrom="column">
              <wp:posOffset>198755</wp:posOffset>
            </wp:positionH>
            <wp:positionV relativeFrom="paragraph">
              <wp:posOffset>121059</wp:posOffset>
            </wp:positionV>
            <wp:extent cx="1454785" cy="2186940"/>
            <wp:effectExtent l="0" t="0" r="571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P MRC 1 2018 087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4785" cy="2186940"/>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2A196B">
        <w:rPr>
          <w:noProof/>
        </w:rPr>
        <w:t xml:space="preserve">  </w:t>
      </w:r>
    </w:p>
    <w:p w14:paraId="7422E182" w14:textId="58808064" w:rsidR="002A196B" w:rsidRDefault="002A196B" w:rsidP="00404E5B">
      <w:pPr>
        <w:spacing w:before="92"/>
        <w:ind w:right="4234"/>
        <w:rPr>
          <w:noProof/>
        </w:rPr>
      </w:pPr>
      <w:r>
        <w:rPr>
          <w:noProof/>
        </w:rPr>
        <w:t xml:space="preserve">   </w:t>
      </w:r>
    </w:p>
    <w:p w14:paraId="793223BF" w14:textId="372B9EBF"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(150 word limit)</w:t>
      </w:r>
    </w:p>
    <w:p w14:paraId="1F75C3F4" w14:textId="77777777" w:rsidR="00774EBD" w:rsidRDefault="00774EBD" w:rsidP="00404E5B">
      <w:pPr>
        <w:spacing w:before="92"/>
        <w:ind w:right="4234"/>
        <w:rPr>
          <w:rFonts w:ascii="Arial"/>
        </w:rPr>
      </w:pPr>
    </w:p>
    <w:p w14:paraId="0627104B" w14:textId="77777777" w:rsidR="00774EBD" w:rsidRDefault="003016F8" w:rsidP="00774EBD">
      <w:pPr>
        <w:spacing w:before="41" w:line="154" w:lineRule="exact"/>
        <w:ind w:left="213" w:right="231"/>
        <w:jc w:val="both"/>
        <w:rPr>
          <w:rFonts w:ascii="Arial"/>
          <w:sz w:val="14"/>
        </w:rPr>
      </w:pPr>
      <w:proofErr w:type="spellStart"/>
      <w:r>
        <w:rPr>
          <w:rFonts w:ascii="Arial"/>
          <w:sz w:val="14"/>
        </w:rPr>
        <w:t>Dr.Pimchanok</w:t>
      </w:r>
      <w:proofErr w:type="spellEnd"/>
      <w:r>
        <w:rPr>
          <w:rFonts w:ascii="Arial"/>
          <w:sz w:val="14"/>
        </w:rPr>
        <w:t xml:space="preserve"> Sutthiboonyapan received her DDS from Faculty of Dentistry, Chulalongkorn University, Bangkok, Thailand in 2012 and her MS with Certificate in Periodontics from the University of Michigan, School of Dentistry</w:t>
      </w:r>
      <w:r w:rsidR="00BC3177">
        <w:rPr>
          <w:rFonts w:ascii="Arial"/>
          <w:sz w:val="14"/>
        </w:rPr>
        <w:t xml:space="preserve">, Ann Arbor, USA </w:t>
      </w:r>
      <w:r>
        <w:rPr>
          <w:rFonts w:ascii="Arial"/>
          <w:sz w:val="14"/>
        </w:rPr>
        <w:t>in 2017</w:t>
      </w:r>
      <w:r w:rsidR="00BC3177">
        <w:rPr>
          <w:rFonts w:ascii="Arial"/>
          <w:sz w:val="14"/>
        </w:rPr>
        <w:t xml:space="preserve">. </w:t>
      </w:r>
      <w:proofErr w:type="spellStart"/>
      <w:r w:rsidR="00557281">
        <w:rPr>
          <w:rFonts w:ascii="Arial"/>
          <w:sz w:val="14"/>
        </w:rPr>
        <w:t>Dr.Sutthiboonyapan</w:t>
      </w:r>
      <w:proofErr w:type="spellEnd"/>
      <w:r w:rsidR="00557281">
        <w:rPr>
          <w:rFonts w:ascii="Arial"/>
          <w:sz w:val="14"/>
        </w:rPr>
        <w:t xml:space="preserve"> is an American Board-certified in </w:t>
      </w:r>
      <w:proofErr w:type="spellStart"/>
      <w:r w:rsidR="00557281">
        <w:rPr>
          <w:rFonts w:ascii="Arial"/>
          <w:sz w:val="14"/>
        </w:rPr>
        <w:t>Periodontolgy</w:t>
      </w:r>
      <w:proofErr w:type="spellEnd"/>
      <w:r w:rsidR="00557281">
        <w:rPr>
          <w:rFonts w:ascii="Arial"/>
          <w:sz w:val="14"/>
        </w:rPr>
        <w:t xml:space="preserve"> and Dental Implant Surgery. </w:t>
      </w:r>
      <w:r w:rsidR="0022709F">
        <w:rPr>
          <w:rFonts w:ascii="Arial"/>
          <w:sz w:val="14"/>
        </w:rPr>
        <w:t xml:space="preserve">She is currently a full-time lecture at the Department of Periodontology, Chulalongkorn University. </w:t>
      </w:r>
      <w:r w:rsidR="00557281">
        <w:rPr>
          <w:rFonts w:ascii="Arial"/>
          <w:sz w:val="14"/>
        </w:rPr>
        <w:t xml:space="preserve">Her </w:t>
      </w:r>
      <w:r w:rsidR="0022709F">
        <w:rPr>
          <w:rFonts w:ascii="Arial"/>
          <w:sz w:val="14"/>
        </w:rPr>
        <w:t xml:space="preserve">research </w:t>
      </w:r>
      <w:r w:rsidR="00557281">
        <w:rPr>
          <w:rFonts w:ascii="Arial"/>
          <w:sz w:val="14"/>
        </w:rPr>
        <w:t xml:space="preserve">work </w:t>
      </w:r>
      <w:r w:rsidR="0022709F">
        <w:rPr>
          <w:rFonts w:ascii="Arial"/>
          <w:sz w:val="14"/>
        </w:rPr>
        <w:t xml:space="preserve">is mostly </w:t>
      </w:r>
      <w:r w:rsidR="00557281">
        <w:rPr>
          <w:rFonts w:ascii="Arial"/>
          <w:sz w:val="14"/>
        </w:rPr>
        <w:t>focus</w:t>
      </w:r>
      <w:r w:rsidR="0022709F">
        <w:rPr>
          <w:rFonts w:ascii="Arial"/>
          <w:sz w:val="14"/>
        </w:rPr>
        <w:t>ing</w:t>
      </w:r>
      <w:r w:rsidR="00557281">
        <w:rPr>
          <w:rFonts w:ascii="Arial"/>
          <w:sz w:val="14"/>
        </w:rPr>
        <w:t xml:space="preserve"> </w:t>
      </w:r>
      <w:r w:rsidR="00B40931">
        <w:rPr>
          <w:rFonts w:ascii="Arial"/>
          <w:sz w:val="14"/>
        </w:rPr>
        <w:t>on</w:t>
      </w:r>
      <w:r w:rsidR="00557281">
        <w:rPr>
          <w:rFonts w:ascii="Arial"/>
          <w:sz w:val="14"/>
        </w:rPr>
        <w:t xml:space="preserve"> periodontal </w:t>
      </w:r>
      <w:r w:rsidR="00B40931">
        <w:rPr>
          <w:rFonts w:ascii="Arial"/>
          <w:sz w:val="14"/>
        </w:rPr>
        <w:t>diagnostic tools and periodontal soft tissue.</w:t>
      </w:r>
      <w:r w:rsidR="001C41FC">
        <w:rPr>
          <w:rFonts w:ascii="Arial"/>
          <w:sz w:val="14"/>
        </w:rPr>
        <w:t xml:space="preserve"> </w:t>
      </w:r>
      <w:r w:rsidR="006F673C">
        <w:rPr>
          <w:rFonts w:ascii="Arial"/>
          <w:sz w:val="14"/>
        </w:rPr>
        <w:t xml:space="preserve">She was the recipient of several awards, including the </w:t>
      </w:r>
      <w:proofErr w:type="spellStart"/>
      <w:r w:rsidR="006F673C">
        <w:rPr>
          <w:rFonts w:ascii="Arial"/>
          <w:sz w:val="14"/>
        </w:rPr>
        <w:t>t</w:t>
      </w:r>
      <w:r w:rsidR="006F673C" w:rsidRPr="006F673C">
        <w:rPr>
          <w:rFonts w:ascii="Arial"/>
          <w:sz w:val="14"/>
        </w:rPr>
        <w:t>he</w:t>
      </w:r>
      <w:proofErr w:type="spellEnd"/>
      <w:r w:rsidR="006F673C" w:rsidRPr="006F673C">
        <w:rPr>
          <w:rFonts w:ascii="Arial"/>
          <w:sz w:val="14"/>
        </w:rPr>
        <w:t xml:space="preserve"> Russell W. Bunting Student Research Award from the Russell W. Bunting Periodontal Society</w:t>
      </w:r>
      <w:r w:rsidR="006F673C">
        <w:rPr>
          <w:rFonts w:ascii="Arial"/>
          <w:sz w:val="14"/>
        </w:rPr>
        <w:t xml:space="preserve"> and the </w:t>
      </w:r>
      <w:r w:rsidR="006F673C" w:rsidRPr="006F673C">
        <w:rPr>
          <w:rFonts w:ascii="Arial"/>
          <w:sz w:val="14"/>
        </w:rPr>
        <w:t>Outstanding Soft Tissue Grafting and/or Esthetics Case Award from the Michigan Periodontal Association</w:t>
      </w:r>
      <w:r w:rsidR="006F673C">
        <w:rPr>
          <w:rFonts w:ascii="Arial"/>
          <w:sz w:val="14"/>
        </w:rPr>
        <w:t>.</w:t>
      </w:r>
    </w:p>
    <w:p w14:paraId="1DD3756A" w14:textId="77777777" w:rsidR="00774EBD" w:rsidRDefault="00774EBD" w:rsidP="00774EBD">
      <w:pPr>
        <w:spacing w:before="41" w:line="154" w:lineRule="exact"/>
        <w:ind w:left="213" w:right="231"/>
        <w:jc w:val="both"/>
        <w:rPr>
          <w:rFonts w:ascii="Arial"/>
          <w:sz w:val="14"/>
        </w:rPr>
      </w:pPr>
    </w:p>
    <w:p w14:paraId="7AEB178B" w14:textId="23A8CD29" w:rsidR="00AE3E37" w:rsidRDefault="00A9710C" w:rsidP="00774EBD">
      <w:pPr>
        <w:spacing w:before="41" w:line="154" w:lineRule="exact"/>
        <w:ind w:left="213" w:right="231"/>
        <w:jc w:val="both"/>
        <w:rPr>
          <w:rFonts w:ascii="Arial"/>
          <w:sz w:val="14"/>
        </w:rPr>
      </w:pPr>
      <w:r>
        <w:rPr>
          <w:rFonts w:ascii="Arial"/>
          <w:sz w:val="14"/>
        </w:rPr>
        <w:t xml:space="preserve">Email: </w:t>
      </w:r>
      <w:hyperlink r:id="rId10" w:history="1">
        <w:r w:rsidR="008203DC" w:rsidRPr="002301AF">
          <w:rPr>
            <w:rStyle w:val="Hyperlink"/>
            <w:rFonts w:ascii="Arial"/>
            <w:sz w:val="14"/>
          </w:rPr>
          <w:t>pimchanok.s@chula.ac.th</w:t>
        </w:r>
      </w:hyperlink>
    </w:p>
    <w:p w14:paraId="27F32AE8" w14:textId="15DF8A02" w:rsidR="00AE3E37" w:rsidRDefault="00AE3E37">
      <w:pPr>
        <w:pStyle w:val="BodyText"/>
        <w:spacing w:before="2"/>
        <w:rPr>
          <w:rFonts w:ascii="Arial"/>
          <w:sz w:val="19"/>
        </w:rPr>
      </w:pPr>
    </w:p>
    <w:p w14:paraId="36C1C00D" w14:textId="77777777" w:rsidR="00AE3E37" w:rsidRDefault="00AE3E37">
      <w:pPr>
        <w:pStyle w:val="BodyText"/>
        <w:rPr>
          <w:rFonts w:ascii="Arial"/>
          <w:sz w:val="20"/>
        </w:rPr>
      </w:pPr>
    </w:p>
    <w:p w14:paraId="41F18E49" w14:textId="77777777" w:rsidR="00AE3E37" w:rsidRDefault="00AE3E37">
      <w:pPr>
        <w:pStyle w:val="BodyText"/>
        <w:rPr>
          <w:rFonts w:ascii="Arial"/>
          <w:sz w:val="20"/>
        </w:rPr>
      </w:pPr>
    </w:p>
    <w:p w14:paraId="6AEC5F02" w14:textId="77777777" w:rsidR="00AE3E37" w:rsidRDefault="00AE3E37">
      <w:pPr>
        <w:pStyle w:val="BodyText"/>
        <w:spacing w:before="7"/>
        <w:rPr>
          <w:rFonts w:ascii="Arial"/>
          <w:sz w:val="29"/>
        </w:rPr>
      </w:pPr>
    </w:p>
    <w:p w14:paraId="3C40AF1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88959C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F4DEB5" w14:textId="77777777" w:rsidR="00D23020" w:rsidRDefault="00D23020">
      <w:r>
        <w:separator/>
      </w:r>
    </w:p>
  </w:endnote>
  <w:endnote w:type="continuationSeparator" w:id="0">
    <w:p w14:paraId="2E54FA99" w14:textId="77777777" w:rsidR="00D23020" w:rsidRDefault="00D23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9115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D18471" wp14:editId="37D2AE0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52CE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E907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1847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79952CE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E907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86C221C" wp14:editId="576549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36C1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674F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C221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9536C1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674F2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C303E7" wp14:editId="4B79AD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499D9"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403ECD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303E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1C7499D9"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403ECD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146809" w14:textId="77777777" w:rsidR="00D23020" w:rsidRDefault="00D23020">
      <w:r>
        <w:separator/>
      </w:r>
    </w:p>
  </w:footnote>
  <w:footnote w:type="continuationSeparator" w:id="0">
    <w:p w14:paraId="353D0B79" w14:textId="77777777" w:rsidR="00D23020" w:rsidRDefault="00D23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B9E5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5ABD1CF" wp14:editId="4B9CA75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C849C"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BD1C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160C849C"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3CBECAC" wp14:editId="5143744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449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5E33F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BECA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E64495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5E33F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97611"/>
    <w:rsid w:val="001C41FC"/>
    <w:rsid w:val="0022709F"/>
    <w:rsid w:val="00292ED9"/>
    <w:rsid w:val="002A196B"/>
    <w:rsid w:val="002B2804"/>
    <w:rsid w:val="003016F8"/>
    <w:rsid w:val="00404E5B"/>
    <w:rsid w:val="00414F7B"/>
    <w:rsid w:val="00433446"/>
    <w:rsid w:val="004355DC"/>
    <w:rsid w:val="00443816"/>
    <w:rsid w:val="004749B4"/>
    <w:rsid w:val="00494130"/>
    <w:rsid w:val="004D3489"/>
    <w:rsid w:val="004E3BA7"/>
    <w:rsid w:val="004F3523"/>
    <w:rsid w:val="00513D06"/>
    <w:rsid w:val="00557281"/>
    <w:rsid w:val="005973B9"/>
    <w:rsid w:val="005B3A56"/>
    <w:rsid w:val="006060CE"/>
    <w:rsid w:val="0063497F"/>
    <w:rsid w:val="006F673C"/>
    <w:rsid w:val="00774EBD"/>
    <w:rsid w:val="008203DC"/>
    <w:rsid w:val="00870DF9"/>
    <w:rsid w:val="00873DF0"/>
    <w:rsid w:val="008756E6"/>
    <w:rsid w:val="008B5541"/>
    <w:rsid w:val="009B2D44"/>
    <w:rsid w:val="00A07E82"/>
    <w:rsid w:val="00A70CF6"/>
    <w:rsid w:val="00A9710C"/>
    <w:rsid w:val="00AE3E37"/>
    <w:rsid w:val="00B21A57"/>
    <w:rsid w:val="00B40931"/>
    <w:rsid w:val="00BC3177"/>
    <w:rsid w:val="00C33602"/>
    <w:rsid w:val="00CD6F55"/>
    <w:rsid w:val="00D23020"/>
    <w:rsid w:val="00DE1AF1"/>
    <w:rsid w:val="00DE3104"/>
    <w:rsid w:val="00E6584F"/>
    <w:rsid w:val="00EC44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F9366"/>
  <w15:docId w15:val="{FC1346FB-6E99-B84C-961A-12444CA46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D3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109339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51690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imchanok.s@chula.ac.th"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Pimchanok Sutthiboonyapan</cp:lastModifiedBy>
  <cp:revision>3</cp:revision>
  <dcterms:created xsi:type="dcterms:W3CDTF">2021-06-19T04:30:00Z</dcterms:created>
  <dcterms:modified xsi:type="dcterms:W3CDTF">2021-06-19T04:35:00Z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