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86A" w:rsidRDefault="00BE0B2F" w:rsidP="00CA086A">
      <w:pPr>
        <w:spacing w:line="360" w:lineRule="auto"/>
        <w:ind w:firstLine="720"/>
        <w:jc w:val="both"/>
      </w:pPr>
      <w:proofErr w:type="gramStart"/>
      <w:r>
        <w:t>Innumerable  scientific</w:t>
      </w:r>
      <w:proofErr w:type="gramEnd"/>
      <w:r>
        <w:t xml:space="preserve"> studies are conducted to find reliable</w:t>
      </w:r>
      <w:r w:rsidR="00CA086A">
        <w:t xml:space="preserve"> </w:t>
      </w:r>
      <w:r>
        <w:t>indic</w:t>
      </w:r>
      <w:r w:rsidR="00CA086A">
        <w:t xml:space="preserve">ators of the biological potential </w:t>
      </w:r>
      <w:r>
        <w:t>of premalignant diseases</w:t>
      </w:r>
      <w:r w:rsidR="00CA086A">
        <w:t xml:space="preserve"> and cancerous lesions </w:t>
      </w:r>
      <w:r>
        <w:t>. These markers have a wide range of</w:t>
      </w:r>
      <w:r w:rsidR="00CA086A">
        <w:t xml:space="preserve"> potential applications </w:t>
      </w:r>
      <w:r>
        <w:t>and  they  have  been  used  as  aids  to</w:t>
      </w:r>
      <w:r w:rsidR="00CA086A">
        <w:t xml:space="preserve"> </w:t>
      </w:r>
      <w:r>
        <w:t>screening,  diagnosis,  prognosis  and  monitoring  the  response</w:t>
      </w:r>
      <w:r w:rsidR="00CA086A">
        <w:t xml:space="preserve"> to  treatment.  Estimations</w:t>
      </w:r>
      <w:r>
        <w:t xml:space="preserve"> </w:t>
      </w:r>
      <w:proofErr w:type="gramStart"/>
      <w:r>
        <w:t>of  such</w:t>
      </w:r>
      <w:proofErr w:type="gramEnd"/>
      <w:r>
        <w:t xml:space="preserve">  markers  might  permit</w:t>
      </w:r>
      <w:r w:rsidR="00CA086A">
        <w:t xml:space="preserve"> selection </w:t>
      </w:r>
      <w:r>
        <w:t>of the most appropriate treatment for the individual</w:t>
      </w:r>
      <w:r w:rsidR="00CA086A">
        <w:t xml:space="preserve"> </w:t>
      </w:r>
      <w:r>
        <w:t>cancers.</w:t>
      </w:r>
    </w:p>
    <w:p w:rsidR="00FD7B2C" w:rsidRDefault="00CA086A" w:rsidP="00CA086A">
      <w:pPr>
        <w:spacing w:line="360" w:lineRule="auto"/>
        <w:ind w:firstLine="720"/>
        <w:jc w:val="both"/>
      </w:pPr>
      <w:r>
        <w:t xml:space="preserve"> </w:t>
      </w:r>
      <w:r w:rsidR="00BE0B2F">
        <w:t xml:space="preserve">Serum Beta–2 </w:t>
      </w:r>
      <w:proofErr w:type="spellStart"/>
      <w:r>
        <w:t>microglobulin</w:t>
      </w:r>
      <w:proofErr w:type="spellEnd"/>
      <w:r w:rsidR="00BE0B2F">
        <w:t xml:space="preserve"> (B2M), a tumor marker showed</w:t>
      </w:r>
      <w:r>
        <w:t xml:space="preserve"> significantly increased  concenterations in  patients</w:t>
      </w:r>
      <w:r w:rsidR="00BE0B2F">
        <w:t xml:space="preserve"> with  OSCC</w:t>
      </w:r>
      <w:r>
        <w:t xml:space="preserve"> </w:t>
      </w:r>
      <w:r w:rsidR="00BE0B2F">
        <w:t xml:space="preserve">and  those  with  </w:t>
      </w:r>
      <w:proofErr w:type="spellStart"/>
      <w:r w:rsidR="00BE0B2F">
        <w:t>keratosis</w:t>
      </w:r>
      <w:proofErr w:type="spellEnd"/>
      <w:r w:rsidR="00BE0B2F">
        <w:t xml:space="preserve">  and  epithelial  dysplasia  but  with  no</w:t>
      </w:r>
      <w:r>
        <w:t xml:space="preserve"> </w:t>
      </w:r>
      <w:r w:rsidR="00BE0B2F">
        <w:t>evidence  of  invasion</w:t>
      </w:r>
      <w:r>
        <w:t>.</w:t>
      </w:r>
    </w:p>
    <w:sectPr w:rsidR="00FD7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>
    <w:useFELayout/>
  </w:compat>
  <w:rsids>
    <w:rsidRoot w:val="00BE0B2F"/>
    <w:rsid w:val="00BE0B2F"/>
    <w:rsid w:val="00CA086A"/>
    <w:rsid w:val="00FD7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2017-10-25T08:04:00Z</dcterms:created>
  <dcterms:modified xsi:type="dcterms:W3CDTF">2017-10-25T08:36:00Z</dcterms:modified>
</cp:coreProperties>
</file>