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17C369" w14:textId="50713AAA" w:rsidR="00AC3793" w:rsidRPr="00AC3793" w:rsidRDefault="00291D6A" w:rsidP="00AC3793">
      <w:pPr>
        <w:pStyle w:val="Titolo1"/>
        <w:spacing w:before="0" w:after="225"/>
        <w:rPr>
          <w:color w:val="337AB7"/>
        </w:rPr>
      </w:pPr>
      <w:r w:rsidRPr="00AC3793">
        <w:rPr>
          <w:color w:val="337AB7"/>
        </w:rPr>
        <w:t>Evidence of Neurovascular Un-Coupling in Mild Alzheimer’s Disease through Multimodal EEG-</w:t>
      </w:r>
      <w:proofErr w:type="spellStart"/>
      <w:r w:rsidRPr="00AC3793">
        <w:rPr>
          <w:color w:val="337AB7"/>
        </w:rPr>
        <w:t>fNIRS</w:t>
      </w:r>
      <w:proofErr w:type="spellEnd"/>
      <w:r w:rsidRPr="00AC3793">
        <w:rPr>
          <w:color w:val="337AB7"/>
        </w:rPr>
        <w:t xml:space="preserve"> and Multivariate Analysis of Resting-State Data</w:t>
      </w:r>
    </w:p>
    <w:p w14:paraId="4FCED346" w14:textId="3077F6C6" w:rsidR="00DE215D" w:rsidRDefault="001E46C3" w:rsidP="00DE215D">
      <w:pPr>
        <w:pStyle w:val="Corpotesto"/>
        <w:spacing w:before="73" w:line="198" w:lineRule="exact"/>
        <w:ind w:left="102" w:right="5988"/>
        <w:rPr>
          <w:rFonts w:ascii="Arial"/>
          <w:lang w:val="it-IT"/>
        </w:rPr>
      </w:pPr>
      <w:r w:rsidRPr="00DE215D">
        <w:rPr>
          <w:rFonts w:ascii="Arial"/>
          <w:b/>
          <w:bCs/>
          <w:lang w:val="it-IT"/>
        </w:rPr>
        <w:t>Pierpaolo Croce</w:t>
      </w:r>
      <w:r w:rsidRPr="00EC39DC">
        <w:rPr>
          <w:rFonts w:ascii="Arial" w:hAnsi="Arial"/>
          <w:vertAlign w:val="superscript"/>
          <w:lang w:val="it-IT"/>
        </w:rPr>
        <w:t xml:space="preserve"> 1</w:t>
      </w:r>
      <w:r>
        <w:rPr>
          <w:rFonts w:ascii="Arial"/>
          <w:lang w:val="it-IT"/>
        </w:rPr>
        <w:t xml:space="preserve">, </w:t>
      </w:r>
      <w:r w:rsidRPr="00EC39DC">
        <w:rPr>
          <w:rFonts w:ascii="Arial"/>
          <w:lang w:val="it-IT"/>
        </w:rPr>
        <w:t xml:space="preserve">Antonio M. Chiarelli </w:t>
      </w:r>
      <w:r w:rsidRPr="00EC39DC">
        <w:rPr>
          <w:rFonts w:ascii="Arial" w:hAnsi="Arial"/>
          <w:vertAlign w:val="superscript"/>
          <w:lang w:val="it-IT"/>
        </w:rPr>
        <w:t>1</w:t>
      </w:r>
      <w:r w:rsidRPr="00EC39DC">
        <w:rPr>
          <w:rFonts w:ascii="Arial"/>
          <w:lang w:val="it-IT"/>
        </w:rPr>
        <w:t>, David Perpetuini</w:t>
      </w:r>
      <w:r>
        <w:rPr>
          <w:rFonts w:ascii="Arial"/>
          <w:lang w:val="it-IT"/>
        </w:rPr>
        <w:t xml:space="preserve"> </w:t>
      </w:r>
      <w:r w:rsidRPr="00EC39DC">
        <w:rPr>
          <w:rFonts w:ascii="Arial" w:hAnsi="Arial"/>
          <w:vertAlign w:val="superscript"/>
          <w:lang w:val="it-IT"/>
        </w:rPr>
        <w:t>1</w:t>
      </w:r>
      <w:r w:rsidRPr="00EC39DC">
        <w:rPr>
          <w:rFonts w:ascii="Arial"/>
          <w:lang w:val="it-IT"/>
        </w:rPr>
        <w:t xml:space="preserve">, Chiara Filippini </w:t>
      </w:r>
      <w:r w:rsidRPr="00EC39DC">
        <w:rPr>
          <w:rFonts w:ascii="Arial" w:hAnsi="Arial"/>
          <w:vertAlign w:val="superscript"/>
          <w:lang w:val="it-IT"/>
        </w:rPr>
        <w:t>1</w:t>
      </w:r>
      <w:r>
        <w:rPr>
          <w:rFonts w:ascii="Arial"/>
          <w:lang w:val="it-IT"/>
        </w:rPr>
        <w:t xml:space="preserve">, </w:t>
      </w:r>
      <w:r w:rsidRPr="00EC39DC">
        <w:rPr>
          <w:rFonts w:ascii="Arial"/>
          <w:lang w:val="it-IT"/>
        </w:rPr>
        <w:t xml:space="preserve">Daniela </w:t>
      </w:r>
      <w:r w:rsidR="00DE215D" w:rsidRPr="00EC39DC">
        <w:rPr>
          <w:rFonts w:ascii="Arial"/>
          <w:lang w:val="it-IT"/>
        </w:rPr>
        <w:t>Cardone</w:t>
      </w:r>
      <w:r w:rsidR="00DE215D">
        <w:rPr>
          <w:rFonts w:ascii="Arial"/>
          <w:lang w:val="it-IT"/>
        </w:rPr>
        <w:t xml:space="preserve"> </w:t>
      </w:r>
      <w:r w:rsidR="00DE215D" w:rsidRPr="00DE215D">
        <w:rPr>
          <w:rFonts w:ascii="Arial" w:hAnsi="Arial"/>
          <w:vertAlign w:val="superscript"/>
          <w:lang w:val="it-IT"/>
        </w:rPr>
        <w:t>1</w:t>
      </w:r>
      <w:r w:rsidR="00DE215D" w:rsidRPr="00EC39DC">
        <w:rPr>
          <w:rFonts w:ascii="Arial"/>
          <w:lang w:val="it-IT"/>
        </w:rPr>
        <w:t>, Ludovica</w:t>
      </w:r>
      <w:r w:rsidRPr="00EC39DC">
        <w:rPr>
          <w:rFonts w:ascii="Arial"/>
          <w:lang w:val="it-IT"/>
        </w:rPr>
        <w:t xml:space="preserve"> Rotunno </w:t>
      </w:r>
      <w:r w:rsidR="00DE215D" w:rsidRPr="00EC39DC">
        <w:rPr>
          <w:rFonts w:ascii="Arial" w:hAnsi="Arial"/>
          <w:vertAlign w:val="superscript"/>
          <w:lang w:val="it-IT"/>
        </w:rPr>
        <w:t>1</w:t>
      </w:r>
      <w:r w:rsidR="00DE215D" w:rsidRPr="00EC39DC">
        <w:rPr>
          <w:rFonts w:ascii="Arial"/>
          <w:lang w:val="it-IT"/>
        </w:rPr>
        <w:t>, Nelson</w:t>
      </w:r>
      <w:r w:rsidRPr="00EC39DC">
        <w:rPr>
          <w:rFonts w:ascii="Arial"/>
          <w:lang w:val="it-IT"/>
        </w:rPr>
        <w:t xml:space="preserve"> </w:t>
      </w:r>
      <w:proofErr w:type="spellStart"/>
      <w:r w:rsidRPr="00EC39DC">
        <w:rPr>
          <w:rFonts w:ascii="Arial"/>
          <w:lang w:val="it-IT"/>
        </w:rPr>
        <w:t>Anzoletti</w:t>
      </w:r>
      <w:proofErr w:type="spellEnd"/>
      <w:r w:rsidRPr="00EC39DC">
        <w:rPr>
          <w:rFonts w:ascii="Arial"/>
          <w:lang w:val="it-IT"/>
        </w:rPr>
        <w:t xml:space="preserve"> </w:t>
      </w:r>
      <w:r w:rsidR="0043209E" w:rsidRPr="00EC39DC">
        <w:rPr>
          <w:rFonts w:ascii="Arial" w:hAnsi="Arial"/>
          <w:vertAlign w:val="superscript"/>
          <w:lang w:val="it-IT"/>
        </w:rPr>
        <w:t>1</w:t>
      </w:r>
      <w:r w:rsidR="0043209E" w:rsidRPr="00EC39DC">
        <w:rPr>
          <w:rFonts w:ascii="Arial"/>
          <w:lang w:val="it-IT"/>
        </w:rPr>
        <w:t>, Michele</w:t>
      </w:r>
      <w:r w:rsidRPr="00EC39DC">
        <w:rPr>
          <w:rFonts w:ascii="Arial"/>
          <w:lang w:val="it-IT"/>
        </w:rPr>
        <w:t xml:space="preserve"> Zito </w:t>
      </w:r>
      <w:r w:rsidR="00535794" w:rsidRPr="00EC39DC">
        <w:rPr>
          <w:rFonts w:ascii="Arial" w:hAnsi="Arial"/>
          <w:vertAlign w:val="superscript"/>
          <w:lang w:val="it-IT"/>
        </w:rPr>
        <w:t>1</w:t>
      </w:r>
      <w:r w:rsidR="00535794" w:rsidRPr="00EC39DC">
        <w:rPr>
          <w:rFonts w:ascii="Arial"/>
          <w:lang w:val="it-IT"/>
        </w:rPr>
        <w:t>, Filippo</w:t>
      </w:r>
      <w:r w:rsidRPr="00EC39DC">
        <w:rPr>
          <w:rFonts w:ascii="Arial"/>
          <w:lang w:val="it-IT"/>
        </w:rPr>
        <w:t xml:space="preserve"> Zappasodi </w:t>
      </w:r>
      <w:r w:rsidRPr="00EC39DC">
        <w:rPr>
          <w:rFonts w:ascii="Arial" w:hAnsi="Arial"/>
          <w:vertAlign w:val="superscript"/>
          <w:lang w:val="it-IT"/>
        </w:rPr>
        <w:t>1</w:t>
      </w:r>
      <w:r w:rsidRPr="00EC39DC">
        <w:rPr>
          <w:rFonts w:ascii="Arial"/>
          <w:lang w:val="it-IT"/>
        </w:rPr>
        <w:t xml:space="preserve"> and</w:t>
      </w:r>
      <w:r>
        <w:rPr>
          <w:rFonts w:ascii="Arial"/>
          <w:lang w:val="it-IT"/>
        </w:rPr>
        <w:t xml:space="preserve"> </w:t>
      </w:r>
      <w:r w:rsidRPr="00EC39DC">
        <w:rPr>
          <w:rFonts w:ascii="Arial"/>
          <w:lang w:val="it-IT"/>
        </w:rPr>
        <w:t xml:space="preserve">Arcangelo Merla </w:t>
      </w:r>
      <w:r w:rsidRPr="00EC39DC">
        <w:rPr>
          <w:rFonts w:ascii="Arial" w:hAnsi="Arial"/>
          <w:vertAlign w:val="superscript"/>
          <w:lang w:val="it-IT"/>
        </w:rPr>
        <w:t>1</w:t>
      </w:r>
    </w:p>
    <w:p w14:paraId="32A6433B" w14:textId="77777777" w:rsidR="00DE215D" w:rsidRPr="00535794" w:rsidRDefault="00DE215D" w:rsidP="00DE215D">
      <w:pPr>
        <w:pStyle w:val="Corpotesto"/>
        <w:spacing w:before="73" w:line="198" w:lineRule="exact"/>
        <w:ind w:left="102" w:right="5988"/>
        <w:rPr>
          <w:rFonts w:ascii="Arial" w:hAnsi="Arial"/>
          <w:vertAlign w:val="superscript"/>
          <w:lang w:val="it-IT"/>
        </w:rPr>
      </w:pPr>
    </w:p>
    <w:p w14:paraId="7FFF7207" w14:textId="4C8C04F0" w:rsidR="001E46C3" w:rsidRPr="00DE215D" w:rsidRDefault="001E46C3" w:rsidP="00DE215D">
      <w:pPr>
        <w:pStyle w:val="Corpotesto"/>
        <w:spacing w:before="73" w:line="198" w:lineRule="exact"/>
        <w:ind w:left="102" w:right="5988"/>
        <w:rPr>
          <w:rFonts w:ascii="Arial"/>
        </w:rPr>
      </w:pPr>
      <w:r w:rsidRPr="00EC39DC">
        <w:rPr>
          <w:rFonts w:ascii="Arial" w:hAnsi="Arial"/>
          <w:vertAlign w:val="superscript"/>
        </w:rPr>
        <w:t xml:space="preserve">1 </w:t>
      </w:r>
      <w:r w:rsidRPr="00EC39DC">
        <w:rPr>
          <w:rFonts w:ascii="Arial"/>
        </w:rPr>
        <w:t>Department of Neuroscience, Imaging and Clinical Sciences, Institute for Advanced Biomedical Technologies, Faculty of Medicine, University G. D</w:t>
      </w:r>
      <w:r w:rsidRPr="00EC39DC">
        <w:rPr>
          <w:rFonts w:ascii="Arial"/>
        </w:rPr>
        <w:t>’</w:t>
      </w:r>
      <w:r w:rsidRPr="00EC39DC">
        <w:rPr>
          <w:rFonts w:ascii="Arial"/>
        </w:rPr>
        <w:t xml:space="preserve">Annunzio of Chieti-Pescara, Via Luigi </w:t>
      </w:r>
      <w:proofErr w:type="spellStart"/>
      <w:r w:rsidRPr="00EC39DC">
        <w:rPr>
          <w:rFonts w:ascii="Arial"/>
        </w:rPr>
        <w:t>Polacchi</w:t>
      </w:r>
      <w:proofErr w:type="spellEnd"/>
      <w:r w:rsidRPr="00EC39DC">
        <w:rPr>
          <w:rFonts w:ascii="Arial"/>
        </w:rPr>
        <w:t xml:space="preserve"> 13, 66100 Chieti, Italy</w:t>
      </w:r>
    </w:p>
    <w:p w14:paraId="7F8988C2" w14:textId="77777777" w:rsidR="00AE3E37" w:rsidRDefault="00AE3E37">
      <w:pPr>
        <w:pStyle w:val="Corpotesto"/>
        <w:rPr>
          <w:rFonts w:ascii="Arial"/>
          <w:sz w:val="20"/>
        </w:rPr>
      </w:pPr>
    </w:p>
    <w:p w14:paraId="5A5068C5" w14:textId="77777777" w:rsidR="00AE3E37" w:rsidRDefault="00AE3E37">
      <w:pPr>
        <w:rPr>
          <w:rFonts w:ascii="Arial"/>
          <w:sz w:val="21"/>
        </w:rPr>
        <w:sectPr w:rsidR="00AE3E37" w:rsidSect="008E5477">
          <w:footerReference w:type="default" r:id="rId7"/>
          <w:type w:val="continuous"/>
          <w:pgSz w:w="11910" w:h="16840"/>
          <w:pgMar w:top="995" w:right="600" w:bottom="840" w:left="620" w:header="0" w:footer="0" w:gutter="0"/>
          <w:cols w:space="720"/>
          <w:docGrid w:linePitch="299"/>
        </w:sectPr>
      </w:pPr>
    </w:p>
    <w:p w14:paraId="59D035CA" w14:textId="36176B57" w:rsidR="00AE3E37" w:rsidRDefault="00A9710C">
      <w:pPr>
        <w:pStyle w:val="Titolo3"/>
        <w:spacing w:before="147"/>
        <w:jc w:val="both"/>
      </w:pPr>
      <w:r>
        <w:rPr>
          <w:color w:val="BF5A14"/>
        </w:rPr>
        <w:t>Abstract</w:t>
      </w:r>
    </w:p>
    <w:p w14:paraId="23AC79A0" w14:textId="5D470CD8" w:rsidR="00AE3E37" w:rsidRDefault="00757451">
      <w:pPr>
        <w:pStyle w:val="Corpotesto"/>
        <w:spacing w:before="90" w:line="280" w:lineRule="auto"/>
        <w:ind w:left="100"/>
        <w:jc w:val="both"/>
      </w:pPr>
      <w:r>
        <w:rPr>
          <w:rFonts w:ascii="Arial" w:hAnsi="Arial" w:cs="Arial"/>
          <w:color w:val="222222"/>
          <w:sz w:val="20"/>
          <w:szCs w:val="20"/>
          <w:shd w:val="clear" w:color="auto" w:fill="FFFFFF"/>
        </w:rPr>
        <w:t>Alzheimer’s disease (AD) is associated with modifications in cerebral blood perfusion and autoregulation. Hence, neurovascular coupling (NC) alteration could become a biomarker of the disease. NC might be assessed in clinical settings through multimodal electroencephalography (EEG) and functional near-infrared spectroscopy (</w:t>
      </w:r>
      <w:proofErr w:type="spellStart"/>
      <w:r>
        <w:rPr>
          <w:rFonts w:ascii="Arial" w:hAnsi="Arial" w:cs="Arial"/>
          <w:color w:val="222222"/>
          <w:sz w:val="20"/>
          <w:szCs w:val="20"/>
          <w:shd w:val="clear" w:color="auto" w:fill="FFFFFF"/>
        </w:rPr>
        <w:t>fNIRS</w:t>
      </w:r>
      <w:proofErr w:type="spellEnd"/>
      <w:r>
        <w:rPr>
          <w:rFonts w:ascii="Arial" w:hAnsi="Arial" w:cs="Arial"/>
          <w:color w:val="222222"/>
          <w:sz w:val="20"/>
          <w:szCs w:val="20"/>
          <w:shd w:val="clear" w:color="auto" w:fill="FFFFFF"/>
        </w:rPr>
        <w:t>). Multimodal EEG-</w:t>
      </w:r>
      <w:proofErr w:type="spellStart"/>
      <w:r>
        <w:rPr>
          <w:rFonts w:ascii="Arial" w:hAnsi="Arial" w:cs="Arial"/>
          <w:color w:val="222222"/>
          <w:sz w:val="20"/>
          <w:szCs w:val="20"/>
          <w:shd w:val="clear" w:color="auto" w:fill="FFFFFF"/>
        </w:rPr>
        <w:t>fNIRS</w:t>
      </w:r>
      <w:proofErr w:type="spellEnd"/>
      <w:r>
        <w:rPr>
          <w:rFonts w:ascii="Arial" w:hAnsi="Arial" w:cs="Arial"/>
          <w:color w:val="222222"/>
          <w:sz w:val="20"/>
          <w:szCs w:val="20"/>
          <w:shd w:val="clear" w:color="auto" w:fill="FFFFFF"/>
        </w:rPr>
        <w:t xml:space="preserve"> was recorded at rest in an ambulatory setting to assess NC and to evaluate the sensitivity and specificity of the methodology to AD. Global NC was evaluated with a general linear model (GLM) framework by regressing whole-head EEG power envelopes in three frequency bands (theta, alpha and beta) with average </w:t>
      </w:r>
      <w:proofErr w:type="spellStart"/>
      <w:r>
        <w:rPr>
          <w:rFonts w:ascii="Arial" w:hAnsi="Arial" w:cs="Arial"/>
          <w:color w:val="222222"/>
          <w:sz w:val="20"/>
          <w:szCs w:val="20"/>
          <w:shd w:val="clear" w:color="auto" w:fill="FFFFFF"/>
        </w:rPr>
        <w:t>fNIRS</w:t>
      </w:r>
      <w:proofErr w:type="spellEnd"/>
      <w:r>
        <w:rPr>
          <w:rFonts w:ascii="Arial" w:hAnsi="Arial" w:cs="Arial"/>
          <w:color w:val="222222"/>
          <w:sz w:val="20"/>
          <w:szCs w:val="20"/>
          <w:shd w:val="clear" w:color="auto" w:fill="FFFFFF"/>
        </w:rPr>
        <w:t xml:space="preserve"> oxy-and deoxy-hemoglobin concentration changes in the frontal and prefrontal cortices. NC was lower in AD compared to healthy controls (HC) with significant differences in the linkage of theta and alpha bands with oxy-and deoxy-hemoglobin, respectively (p= 0.028 and p= 0.020). Importantly, standalone EEG and </w:t>
      </w:r>
      <w:proofErr w:type="spellStart"/>
      <w:r>
        <w:rPr>
          <w:rFonts w:ascii="Arial" w:hAnsi="Arial" w:cs="Arial"/>
          <w:color w:val="222222"/>
          <w:sz w:val="20"/>
          <w:szCs w:val="20"/>
          <w:shd w:val="clear" w:color="auto" w:fill="FFFFFF"/>
        </w:rPr>
        <w:t>fNIRS</w:t>
      </w:r>
      <w:proofErr w:type="spellEnd"/>
      <w:r>
        <w:rPr>
          <w:rFonts w:ascii="Arial" w:hAnsi="Arial" w:cs="Arial"/>
          <w:color w:val="222222"/>
          <w:sz w:val="20"/>
          <w:szCs w:val="20"/>
          <w:shd w:val="clear" w:color="auto" w:fill="FFFFFF"/>
        </w:rPr>
        <w:t xml:space="preserve"> metrics did not highlight differences between AD and HC. Furthermore, a multivariate data-driven analysis of NC between the three frequency bands and the two hemoglobin species delivered a cross-validated classification performance of AD and HC with an Area Under the Curve, AUC= 0.905 (p= 2.17× 10− 5). The findings demonstrate that EEG-</w:t>
      </w:r>
      <w:proofErr w:type="spellStart"/>
      <w:r>
        <w:rPr>
          <w:rFonts w:ascii="Arial" w:hAnsi="Arial" w:cs="Arial"/>
          <w:color w:val="222222"/>
          <w:sz w:val="20"/>
          <w:szCs w:val="20"/>
          <w:shd w:val="clear" w:color="auto" w:fill="FFFFFF"/>
        </w:rPr>
        <w:t>fNIRS</w:t>
      </w:r>
      <w:proofErr w:type="spellEnd"/>
      <w:r>
        <w:rPr>
          <w:rFonts w:ascii="Arial" w:hAnsi="Arial" w:cs="Arial"/>
          <w:color w:val="222222"/>
          <w:sz w:val="20"/>
          <w:szCs w:val="20"/>
          <w:shd w:val="clear" w:color="auto" w:fill="FFFFFF"/>
        </w:rPr>
        <w:t xml:space="preserve"> may indeed represent a powerful ecological tool for clinical evaluation of NC and early identification of </w:t>
      </w:r>
      <w:r w:rsidR="004D1845">
        <w:rPr>
          <w:rFonts w:ascii="Arial" w:hAnsi="Arial" w:cs="Arial"/>
          <w:color w:val="222222"/>
          <w:sz w:val="20"/>
          <w:szCs w:val="20"/>
          <w:shd w:val="clear" w:color="auto" w:fill="FFFFFF"/>
        </w:rPr>
        <w:t>AD.</w:t>
      </w:r>
    </w:p>
    <w:p w14:paraId="2AC2B08A" w14:textId="77777777" w:rsidR="00AE3E37" w:rsidRDefault="00A9710C">
      <w:pPr>
        <w:pStyle w:val="Titolo3"/>
        <w:spacing w:before="74"/>
      </w:pPr>
      <w:r>
        <w:rPr>
          <w:b w:val="0"/>
        </w:rPr>
        <w:br w:type="column"/>
      </w:r>
      <w:r>
        <w:rPr>
          <w:color w:val="BF5A14"/>
        </w:rPr>
        <w:t>Image</w:t>
      </w:r>
    </w:p>
    <w:p w14:paraId="09FB6791" w14:textId="43AF6355" w:rsidR="00AE3E37" w:rsidRDefault="00757451">
      <w:pPr>
        <w:pStyle w:val="Corpotesto"/>
        <w:spacing w:before="2"/>
        <w:rPr>
          <w:rFonts w:ascii="Arial"/>
          <w:b/>
          <w:sz w:val="16"/>
        </w:rPr>
      </w:pPr>
      <w:r>
        <w:rPr>
          <w:rFonts w:ascii="Arial"/>
          <w:b/>
          <w:noProof/>
          <w:sz w:val="16"/>
        </w:rPr>
        <w:drawing>
          <wp:inline distT="0" distB="0" distL="0" distR="0" wp14:anchorId="3A828973" wp14:editId="2356E387">
            <wp:extent cx="3706092" cy="3038475"/>
            <wp:effectExtent l="0" t="0" r="889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pic:nvPicPr>
                  <pic:blipFill>
                    <a:blip r:embed="rId8">
                      <a:extLst>
                        <a:ext uri="{28A0092B-C50C-407E-A947-70E740481C1C}">
                          <a14:useLocalDpi xmlns:a14="http://schemas.microsoft.com/office/drawing/2010/main" val="0"/>
                        </a:ext>
                      </a:extLst>
                    </a:blip>
                    <a:stretch>
                      <a:fillRect/>
                    </a:stretch>
                  </pic:blipFill>
                  <pic:spPr>
                    <a:xfrm>
                      <a:off x="0" y="0"/>
                      <a:ext cx="3718363" cy="3048535"/>
                    </a:xfrm>
                    <a:prstGeom prst="rect">
                      <a:avLst/>
                    </a:prstGeom>
                  </pic:spPr>
                </pic:pic>
              </a:graphicData>
            </a:graphic>
          </wp:inline>
        </w:drawing>
      </w:r>
    </w:p>
    <w:p w14:paraId="0CC0D974" w14:textId="612C5182" w:rsidR="005973B9" w:rsidRDefault="005973B9" w:rsidP="005973B9">
      <w:pPr>
        <w:spacing w:line="204" w:lineRule="exact"/>
        <w:rPr>
          <w:rFonts w:ascii="Arial"/>
          <w:b/>
          <w:sz w:val="20"/>
        </w:rPr>
      </w:pPr>
      <w:r>
        <w:rPr>
          <w:rFonts w:ascii="Arial"/>
          <w:b/>
          <w:color w:val="BF5A14"/>
          <w:sz w:val="20"/>
        </w:rPr>
        <w:br/>
        <w:t>Recent Publications</w:t>
      </w:r>
    </w:p>
    <w:p w14:paraId="5D62FE52" w14:textId="53CF7CCD" w:rsidR="005973B9" w:rsidRDefault="004D1845" w:rsidP="005973B9">
      <w:pPr>
        <w:pStyle w:val="Paragrafoelenco"/>
        <w:numPr>
          <w:ilvl w:val="0"/>
          <w:numId w:val="3"/>
        </w:numPr>
        <w:tabs>
          <w:tab w:val="left" w:pos="384"/>
        </w:tabs>
        <w:spacing w:before="103" w:line="216" w:lineRule="exact"/>
        <w:ind w:right="138" w:hanging="283"/>
        <w:rPr>
          <w:sz w:val="18"/>
        </w:rPr>
      </w:pPr>
      <w:proofErr w:type="spellStart"/>
      <w:r w:rsidRPr="004D1845">
        <w:rPr>
          <w:sz w:val="18"/>
        </w:rPr>
        <w:t>Kotliar</w:t>
      </w:r>
      <w:proofErr w:type="spellEnd"/>
      <w:r w:rsidRPr="004D1845">
        <w:rPr>
          <w:sz w:val="18"/>
        </w:rPr>
        <w:t xml:space="preserve">, K.; Hauser, C.; Ortner, M.; </w:t>
      </w:r>
      <w:proofErr w:type="spellStart"/>
      <w:r w:rsidRPr="004D1845">
        <w:rPr>
          <w:sz w:val="18"/>
        </w:rPr>
        <w:t>Muggenthaler</w:t>
      </w:r>
      <w:proofErr w:type="spellEnd"/>
      <w:r w:rsidRPr="004D1845">
        <w:rPr>
          <w:sz w:val="18"/>
        </w:rPr>
        <w:t xml:space="preserve">, C.; Diehl-Schmid, J.; Angermann, S.; </w:t>
      </w:r>
      <w:proofErr w:type="spellStart"/>
      <w:r w:rsidRPr="004D1845">
        <w:rPr>
          <w:sz w:val="18"/>
        </w:rPr>
        <w:t>Hapfelmeier</w:t>
      </w:r>
      <w:proofErr w:type="spellEnd"/>
      <w:r w:rsidRPr="004D1845">
        <w:rPr>
          <w:sz w:val="18"/>
        </w:rPr>
        <w:t xml:space="preserve">, A.; Schmaderer, C.; Grimmer, T. Altered neurovascular coupling as measured by optical imaging: A biomarker for </w:t>
      </w:r>
      <w:proofErr w:type="spellStart"/>
      <w:r w:rsidRPr="004D1845">
        <w:rPr>
          <w:sz w:val="18"/>
        </w:rPr>
        <w:t>alzheimer’s</w:t>
      </w:r>
      <w:proofErr w:type="spellEnd"/>
      <w:r w:rsidRPr="004D1845">
        <w:rPr>
          <w:sz w:val="18"/>
        </w:rPr>
        <w:t xml:space="preserve"> disease. </w:t>
      </w:r>
      <w:r w:rsidRPr="004D1845">
        <w:rPr>
          <w:i/>
          <w:iCs/>
          <w:sz w:val="18"/>
        </w:rPr>
        <w:t>Sci. Rep.</w:t>
      </w:r>
      <w:r w:rsidRPr="004D1845">
        <w:rPr>
          <w:sz w:val="18"/>
        </w:rPr>
        <w:t> </w:t>
      </w:r>
      <w:r w:rsidRPr="004D1845">
        <w:rPr>
          <w:b/>
          <w:bCs/>
          <w:sz w:val="18"/>
        </w:rPr>
        <w:t>2017</w:t>
      </w:r>
      <w:r w:rsidRPr="004D1845">
        <w:rPr>
          <w:sz w:val="18"/>
        </w:rPr>
        <w:t>, </w:t>
      </w:r>
      <w:r w:rsidRPr="004D1845">
        <w:rPr>
          <w:i/>
          <w:iCs/>
          <w:sz w:val="18"/>
        </w:rPr>
        <w:t>7</w:t>
      </w:r>
      <w:r w:rsidRPr="004D1845">
        <w:rPr>
          <w:sz w:val="18"/>
        </w:rPr>
        <w:t xml:space="preserve">, </w:t>
      </w:r>
      <w:proofErr w:type="gramStart"/>
      <w:r w:rsidRPr="004D1845">
        <w:rPr>
          <w:sz w:val="18"/>
        </w:rPr>
        <w:t>12906.</w:t>
      </w:r>
      <w:r w:rsidR="005973B9" w:rsidRPr="005973B9">
        <w:rPr>
          <w:sz w:val="18"/>
        </w:rPr>
        <w:t>.</w:t>
      </w:r>
      <w:proofErr w:type="gramEnd"/>
    </w:p>
    <w:p w14:paraId="1BEE322D" w14:textId="3BDD069E" w:rsidR="005973B9" w:rsidRDefault="004D1845" w:rsidP="005973B9">
      <w:pPr>
        <w:pStyle w:val="Paragrafoelenco"/>
        <w:numPr>
          <w:ilvl w:val="0"/>
          <w:numId w:val="3"/>
        </w:numPr>
        <w:tabs>
          <w:tab w:val="left" w:pos="384"/>
        </w:tabs>
        <w:spacing w:line="216" w:lineRule="exact"/>
        <w:ind w:right="138" w:hanging="283"/>
        <w:rPr>
          <w:sz w:val="18"/>
        </w:rPr>
      </w:pPr>
      <w:r w:rsidRPr="004D1845">
        <w:rPr>
          <w:sz w:val="18"/>
        </w:rPr>
        <w:t xml:space="preserve">Haydon, P.G.; </w:t>
      </w:r>
      <w:proofErr w:type="spellStart"/>
      <w:r w:rsidRPr="004D1845">
        <w:rPr>
          <w:sz w:val="18"/>
        </w:rPr>
        <w:t>Carmignoto</w:t>
      </w:r>
      <w:proofErr w:type="spellEnd"/>
      <w:r w:rsidRPr="004D1845">
        <w:rPr>
          <w:sz w:val="18"/>
        </w:rPr>
        <w:t>, G. Astrocyte control of synaptic transmission and neurovascular coupling. </w:t>
      </w:r>
      <w:r w:rsidRPr="004D1845">
        <w:rPr>
          <w:i/>
          <w:iCs/>
          <w:sz w:val="18"/>
        </w:rPr>
        <w:t>Physiol. Rev.</w:t>
      </w:r>
      <w:r w:rsidRPr="004D1845">
        <w:rPr>
          <w:sz w:val="18"/>
        </w:rPr>
        <w:t> </w:t>
      </w:r>
      <w:r w:rsidRPr="004D1845">
        <w:rPr>
          <w:b/>
          <w:bCs/>
          <w:sz w:val="18"/>
        </w:rPr>
        <w:t>2006</w:t>
      </w:r>
      <w:r w:rsidRPr="004D1845">
        <w:rPr>
          <w:sz w:val="18"/>
        </w:rPr>
        <w:t>, </w:t>
      </w:r>
      <w:r w:rsidRPr="004D1845">
        <w:rPr>
          <w:i/>
          <w:iCs/>
          <w:sz w:val="18"/>
        </w:rPr>
        <w:t>86</w:t>
      </w:r>
      <w:r w:rsidRPr="004D1845">
        <w:rPr>
          <w:sz w:val="18"/>
        </w:rPr>
        <w:t>, 1009–1031</w:t>
      </w:r>
      <w:r w:rsidR="005973B9">
        <w:rPr>
          <w:sz w:val="18"/>
        </w:rPr>
        <w:t xml:space="preserve">LiX, </w:t>
      </w:r>
      <w:proofErr w:type="spellStart"/>
      <w:r w:rsidR="005973B9">
        <w:rPr>
          <w:sz w:val="18"/>
        </w:rPr>
        <w:t>SchwachaMG</w:t>
      </w:r>
      <w:proofErr w:type="spellEnd"/>
      <w:r w:rsidR="005973B9">
        <w:rPr>
          <w:sz w:val="18"/>
        </w:rPr>
        <w:t xml:space="preserve">, </w:t>
      </w:r>
      <w:proofErr w:type="spellStart"/>
      <w:r w:rsidR="005973B9">
        <w:rPr>
          <w:sz w:val="18"/>
        </w:rPr>
        <w:t>ChaudryIH</w:t>
      </w:r>
      <w:proofErr w:type="spellEnd"/>
      <w:r w:rsidR="005973B9">
        <w:rPr>
          <w:sz w:val="18"/>
        </w:rPr>
        <w:t xml:space="preserve">, </w:t>
      </w:r>
      <w:proofErr w:type="spellStart"/>
      <w:r w:rsidR="005973B9">
        <w:rPr>
          <w:sz w:val="18"/>
        </w:rPr>
        <w:t>ChoudhryMA</w:t>
      </w:r>
      <w:proofErr w:type="spellEnd"/>
      <w:r w:rsidR="005973B9">
        <w:rPr>
          <w:sz w:val="18"/>
        </w:rPr>
        <w:t xml:space="preserve"> (</w:t>
      </w:r>
      <w:proofErr w:type="gramStart"/>
      <w:r w:rsidR="005973B9">
        <w:rPr>
          <w:sz w:val="18"/>
        </w:rPr>
        <w:t>2008)</w:t>
      </w:r>
      <w:proofErr w:type="spellStart"/>
      <w:r w:rsidR="005973B9">
        <w:rPr>
          <w:sz w:val="18"/>
        </w:rPr>
        <w:t>Acutealcohol</w:t>
      </w:r>
      <w:proofErr w:type="spellEnd"/>
      <w:proofErr w:type="gramEnd"/>
      <w:r w:rsidR="005973B9">
        <w:rPr>
          <w:sz w:val="18"/>
        </w:rPr>
        <w:t xml:space="preserve"> intoxication potentiates neutrophil-mediated intestinal tissue damage after burn injury. Shock 29:377.</w:t>
      </w:r>
    </w:p>
    <w:p w14:paraId="6783BA5F" w14:textId="2563AD5F" w:rsidR="00AE3E37" w:rsidRPr="004D1845" w:rsidRDefault="004D1845" w:rsidP="00F5545B">
      <w:pPr>
        <w:pStyle w:val="Corpotesto"/>
        <w:numPr>
          <w:ilvl w:val="0"/>
          <w:numId w:val="3"/>
        </w:numPr>
        <w:tabs>
          <w:tab w:val="left" w:pos="384"/>
        </w:tabs>
        <w:spacing w:before="85" w:line="216" w:lineRule="exact"/>
        <w:ind w:right="117"/>
        <w:jc w:val="both"/>
      </w:pPr>
      <w:r w:rsidRPr="004D1845">
        <w:rPr>
          <w:rFonts w:ascii="Calibri" w:eastAsia="Calibri" w:hAnsi="Calibri" w:cs="Calibri"/>
          <w:szCs w:val="22"/>
        </w:rPr>
        <w:t xml:space="preserve">Stickland, R.; Allen, M.; </w:t>
      </w:r>
      <w:proofErr w:type="spellStart"/>
      <w:r w:rsidRPr="004D1845">
        <w:rPr>
          <w:rFonts w:ascii="Calibri" w:eastAsia="Calibri" w:hAnsi="Calibri" w:cs="Calibri"/>
          <w:szCs w:val="22"/>
        </w:rPr>
        <w:t>Magazzini</w:t>
      </w:r>
      <w:proofErr w:type="spellEnd"/>
      <w:r w:rsidRPr="004D1845">
        <w:rPr>
          <w:rFonts w:ascii="Calibri" w:eastAsia="Calibri" w:hAnsi="Calibri" w:cs="Calibri"/>
          <w:szCs w:val="22"/>
        </w:rPr>
        <w:t>, L.; Singh, K.D.; Wise, R.G.; Tomassini, V. Neurovascular coupling during visual stimulation in multiple sclerosis: A MEG-FMRI STUDY. </w:t>
      </w:r>
      <w:r w:rsidRPr="004D1845">
        <w:rPr>
          <w:rFonts w:ascii="Calibri" w:eastAsia="Calibri" w:hAnsi="Calibri" w:cs="Calibri"/>
          <w:i/>
          <w:iCs/>
          <w:szCs w:val="22"/>
        </w:rPr>
        <w:t>Neuroscience</w:t>
      </w:r>
      <w:r w:rsidRPr="004D1845">
        <w:rPr>
          <w:rFonts w:ascii="Calibri" w:eastAsia="Calibri" w:hAnsi="Calibri" w:cs="Calibri"/>
          <w:szCs w:val="22"/>
        </w:rPr>
        <w:t> </w:t>
      </w:r>
      <w:r w:rsidRPr="004D1845">
        <w:rPr>
          <w:rFonts w:ascii="Calibri" w:eastAsia="Calibri" w:hAnsi="Calibri" w:cs="Calibri"/>
          <w:b/>
          <w:bCs/>
          <w:szCs w:val="22"/>
        </w:rPr>
        <w:t>2019</w:t>
      </w:r>
      <w:r w:rsidRPr="004D1845">
        <w:rPr>
          <w:rFonts w:ascii="Calibri" w:eastAsia="Calibri" w:hAnsi="Calibri" w:cs="Calibri"/>
          <w:szCs w:val="22"/>
        </w:rPr>
        <w:t>, </w:t>
      </w:r>
      <w:r w:rsidRPr="004D1845">
        <w:rPr>
          <w:rFonts w:ascii="Calibri" w:eastAsia="Calibri" w:hAnsi="Calibri" w:cs="Calibri"/>
          <w:i/>
          <w:iCs/>
          <w:szCs w:val="22"/>
        </w:rPr>
        <w:t>403</w:t>
      </w:r>
      <w:r w:rsidRPr="004D1845">
        <w:rPr>
          <w:rFonts w:ascii="Calibri" w:eastAsia="Calibri" w:hAnsi="Calibri" w:cs="Calibri"/>
          <w:szCs w:val="22"/>
        </w:rPr>
        <w:t>, 54–69.</w:t>
      </w:r>
      <w:r w:rsidR="005973B9" w:rsidRPr="004D1845">
        <w:rPr>
          <w:rFonts w:ascii="Calibri" w:hAnsi="Calibri"/>
        </w:rPr>
        <w:t xml:space="preserve">5. </w:t>
      </w:r>
    </w:p>
    <w:p w14:paraId="7BFEDCFD" w14:textId="52C2CCCF" w:rsidR="004D1845" w:rsidRDefault="004D1845" w:rsidP="00F5545B">
      <w:pPr>
        <w:pStyle w:val="Corpotesto"/>
        <w:numPr>
          <w:ilvl w:val="0"/>
          <w:numId w:val="3"/>
        </w:numPr>
        <w:tabs>
          <w:tab w:val="left" w:pos="384"/>
        </w:tabs>
        <w:spacing w:before="85" w:line="216" w:lineRule="exact"/>
        <w:ind w:right="117"/>
        <w:jc w:val="both"/>
      </w:pPr>
      <w:r w:rsidRPr="004D1845">
        <w:t>Dutta, A.; Jacob, A.; Chowdhury, S.R.; Das, A.; Nitsche, M.A. EEG-NIRS based assessment of neurovascular coupling during anodal transcranial direct current stimulation—A stroke case series. </w:t>
      </w:r>
      <w:r w:rsidRPr="004D1845">
        <w:rPr>
          <w:i/>
          <w:iCs/>
        </w:rPr>
        <w:t>J. Med. Syst.</w:t>
      </w:r>
      <w:r w:rsidRPr="004D1845">
        <w:t> </w:t>
      </w:r>
      <w:r w:rsidRPr="004D1845">
        <w:rPr>
          <w:b/>
          <w:bCs/>
        </w:rPr>
        <w:t>2015</w:t>
      </w:r>
      <w:r w:rsidRPr="004D1845">
        <w:t>, </w:t>
      </w:r>
      <w:r w:rsidRPr="004D1845">
        <w:rPr>
          <w:i/>
          <w:iCs/>
        </w:rPr>
        <w:t>39</w:t>
      </w:r>
      <w:r w:rsidRPr="004D1845">
        <w:t>, 36.</w:t>
      </w:r>
    </w:p>
    <w:p w14:paraId="1637FABE" w14:textId="57637F98" w:rsidR="004D1845" w:rsidRDefault="004D1845" w:rsidP="00F5545B">
      <w:pPr>
        <w:pStyle w:val="Corpotesto"/>
        <w:numPr>
          <w:ilvl w:val="0"/>
          <w:numId w:val="3"/>
        </w:numPr>
        <w:tabs>
          <w:tab w:val="left" w:pos="384"/>
        </w:tabs>
        <w:spacing w:before="85" w:line="216" w:lineRule="exact"/>
        <w:ind w:right="117"/>
        <w:jc w:val="both"/>
      </w:pPr>
      <w:proofErr w:type="spellStart"/>
      <w:r w:rsidRPr="004D1845">
        <w:t>Csipo</w:t>
      </w:r>
      <w:proofErr w:type="spellEnd"/>
      <w:r w:rsidRPr="004D1845">
        <w:t xml:space="preserve">, T.; </w:t>
      </w:r>
      <w:proofErr w:type="spellStart"/>
      <w:r w:rsidRPr="004D1845">
        <w:t>Mukli</w:t>
      </w:r>
      <w:proofErr w:type="spellEnd"/>
      <w:r w:rsidRPr="004D1845">
        <w:t xml:space="preserve">, P.; </w:t>
      </w:r>
      <w:proofErr w:type="spellStart"/>
      <w:r w:rsidRPr="004D1845">
        <w:t>Lipecz</w:t>
      </w:r>
      <w:proofErr w:type="spellEnd"/>
      <w:r w:rsidRPr="004D1845">
        <w:t xml:space="preserve">, A.; Tarantini, S.; </w:t>
      </w:r>
      <w:proofErr w:type="spellStart"/>
      <w:r w:rsidRPr="004D1845">
        <w:t>Bahadli</w:t>
      </w:r>
      <w:proofErr w:type="spellEnd"/>
      <w:r w:rsidRPr="004D1845">
        <w:t xml:space="preserve">, D.; Abdulhussein, O.; Owens, C.; Kiss, T.; Balasubramanian, P.; </w:t>
      </w:r>
      <w:proofErr w:type="spellStart"/>
      <w:r w:rsidRPr="004D1845">
        <w:t>Nyúl</w:t>
      </w:r>
      <w:proofErr w:type="spellEnd"/>
      <w:r w:rsidRPr="004D1845">
        <w:t>-Tóth, Á.; et al. Assessment of Age-related decline of neurovascular coupling responses by functional near-infrared spectroscopy (FNIRS) in humans. </w:t>
      </w:r>
      <w:r w:rsidRPr="004D1845">
        <w:rPr>
          <w:i/>
          <w:iCs/>
        </w:rPr>
        <w:t>GeroScience</w:t>
      </w:r>
      <w:r w:rsidRPr="004D1845">
        <w:t> </w:t>
      </w:r>
      <w:r w:rsidRPr="004D1845">
        <w:rPr>
          <w:b/>
          <w:bCs/>
        </w:rPr>
        <w:t>2019</w:t>
      </w:r>
      <w:r w:rsidRPr="004D1845">
        <w:t>, </w:t>
      </w:r>
      <w:r w:rsidRPr="004D1845">
        <w:rPr>
          <w:i/>
          <w:iCs/>
        </w:rPr>
        <w:t>41</w:t>
      </w:r>
      <w:r w:rsidRPr="004D1845">
        <w:t>, 495–509.</w:t>
      </w:r>
    </w:p>
    <w:p w14:paraId="1F22C3FC" w14:textId="77777777" w:rsidR="009F4024" w:rsidRPr="008756E6" w:rsidRDefault="009F4024" w:rsidP="00BE1045">
      <w:pPr>
        <w:pStyle w:val="Corpotesto"/>
        <w:tabs>
          <w:tab w:val="left" w:pos="384"/>
        </w:tabs>
        <w:spacing w:before="85" w:line="216" w:lineRule="exact"/>
        <w:ind w:left="383" w:right="117"/>
        <w:jc w:val="both"/>
      </w:pPr>
    </w:p>
    <w:p w14:paraId="4391B517"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47DD0062" w14:textId="17AFC51A" w:rsidR="00AE3E37" w:rsidRDefault="00AE3E37">
      <w:pPr>
        <w:pStyle w:val="Corpotesto"/>
        <w:rPr>
          <w:rFonts w:ascii="Calibri"/>
          <w:sz w:val="20"/>
        </w:rPr>
      </w:pPr>
    </w:p>
    <w:p w14:paraId="04647EF4" w14:textId="305A9BB1" w:rsidR="00AE3E37" w:rsidRDefault="00292ED9">
      <w:pPr>
        <w:pStyle w:val="Corpotesto"/>
        <w:spacing w:line="40" w:lineRule="exact"/>
        <w:ind w:left="2202"/>
        <w:rPr>
          <w:rFonts w:ascii="Calibri"/>
          <w:sz w:val="4"/>
        </w:rPr>
      </w:pPr>
      <w:r>
        <w:rPr>
          <w:rFonts w:ascii="Calibri"/>
          <w:noProof/>
          <w:sz w:val="4"/>
        </w:rPr>
        <mc:AlternateContent>
          <mc:Choice Requires="wpg">
            <w:drawing>
              <wp:inline distT="0" distB="0" distL="0" distR="0" wp14:anchorId="35BC76B5" wp14:editId="50F0ACB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2EA178F"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1E6717D5" w14:textId="38A54E13" w:rsidR="00AE3E37" w:rsidRDefault="00FC01B5" w:rsidP="00404E5B">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46007087" wp14:editId="470CB385">
                <wp:simplePos x="0" y="0"/>
                <wp:positionH relativeFrom="column">
                  <wp:posOffset>5616575</wp:posOffset>
                </wp:positionH>
                <wp:positionV relativeFrom="paragraph">
                  <wp:posOffset>85090</wp:posOffset>
                </wp:positionV>
                <wp:extent cx="1012190" cy="636905"/>
                <wp:effectExtent l="19050" t="19050" r="16510" b="1079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63690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36367FD2" w14:textId="13312963" w:rsidR="00A52075" w:rsidRDefault="00FC01B5" w:rsidP="00A52075">
                            <w:pPr>
                              <w:rPr>
                                <w:b/>
                                <w:color w:val="0000FF"/>
                                <w:lang w:val="en-IN"/>
                              </w:rPr>
                            </w:pPr>
                            <w:r>
                              <w:rPr>
                                <w:noProof/>
                              </w:rPr>
                              <w:drawing>
                                <wp:inline distT="0" distB="0" distL="0" distR="0" wp14:anchorId="600D7D0D" wp14:editId="1D0A7385">
                                  <wp:extent cx="647700" cy="552450"/>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9">
                                            <a:extLst>
                                              <a:ext uri="{28A0092B-C50C-407E-A947-70E740481C1C}">
                                                <a14:useLocalDpi xmlns:a14="http://schemas.microsoft.com/office/drawing/2010/main" val="0"/>
                                              </a:ext>
                                            </a:extLst>
                                          </a:blip>
                                          <a:stretch>
                                            <a:fillRect/>
                                          </a:stretch>
                                        </pic:blipFill>
                                        <pic:spPr>
                                          <a:xfrm>
                                            <a:off x="0" y="0"/>
                                            <a:ext cx="648862" cy="553441"/>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6007087" id="Rounded Rectangle 2" o:spid="_x0000_s1026" style="position:absolute;margin-left:442.25pt;margin-top:6.7pt;width:79.7pt;height:50.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" strokecolor="#9bbb59" strokeweight="2.5pt">
                <v:shadow color="#868686"/>
                <v:textbox>
                  <w:txbxContent>
                    <w:p w14:paraId="36367FD2" w14:textId="13312963" w:rsidR="00A52075" w:rsidRDefault="00FC01B5" w:rsidP="00A52075">
                      <w:pPr>
                        <w:rPr>
                          <w:b/>
                          <w:color w:val="0000FF"/>
                          <w:lang w:val="en-IN"/>
                        </w:rPr>
                      </w:pPr>
                      <w:r>
                        <w:rPr>
                          <w:noProof/>
                        </w:rPr>
                        <w:drawing>
                          <wp:inline distT="0" distB="0" distL="0" distR="0" wp14:anchorId="600D7D0D" wp14:editId="1D0A7385">
                            <wp:extent cx="647700" cy="552450"/>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magine 4"/>
                                    <pic:cNvPicPr/>
                                  </pic:nvPicPr>
                                  <pic:blipFill>
                                    <a:blip r:embed="rId9">
                                      <a:extLst>
                                        <a:ext uri="{28A0092B-C50C-407E-A947-70E740481C1C}">
                                          <a14:useLocalDpi xmlns:a14="http://schemas.microsoft.com/office/drawing/2010/main" val="0"/>
                                        </a:ext>
                                      </a:extLst>
                                    </a:blip>
                                    <a:stretch>
                                      <a:fillRect/>
                                    </a:stretch>
                                  </pic:blipFill>
                                  <pic:spPr>
                                    <a:xfrm>
                                      <a:off x="0" y="0"/>
                                      <a:ext cx="648862" cy="553441"/>
                                    </a:xfrm>
                                    <a:prstGeom prst="rect">
                                      <a:avLst/>
                                    </a:prstGeom>
                                  </pic:spPr>
                                </pic:pic>
                              </a:graphicData>
                            </a:graphic>
                          </wp:inline>
                        </w:drawing>
                      </w:r>
                    </w:p>
                  </w:txbxContent>
                </v:textbox>
              </v:roundrect>
            </w:pict>
          </mc:Fallback>
        </mc:AlternateContent>
      </w:r>
      <w:r>
        <w:rPr>
          <w:noProof/>
        </w:rPr>
        <w:drawing>
          <wp:inline distT="0" distB="0" distL="0" distR="0" wp14:anchorId="43D103D8" wp14:editId="0590FFC4">
            <wp:extent cx="671830" cy="503723"/>
            <wp:effectExtent l="7937" t="0" r="2858" b="2857"/>
            <wp:docPr id="12" name="Immagine 12" descr="Immagine che contiene persona, uomo, parete, interni&#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magine 12" descr="Immagine che contiene persona, uomo, parete, interni&#10;&#10;Descrizione generata automaticamente"/>
                    <pic:cNvPicPr/>
                  </pic:nvPicPr>
                  <pic:blipFill>
                    <a:blip r:embed="rId10" cstate="print">
                      <a:extLst>
                        <a:ext uri="{28A0092B-C50C-407E-A947-70E740481C1C}">
                          <a14:useLocalDpi xmlns:a14="http://schemas.microsoft.com/office/drawing/2010/main" val="0"/>
                        </a:ext>
                      </a:extLst>
                    </a:blip>
                    <a:stretch>
                      <a:fillRect/>
                    </a:stretch>
                  </pic:blipFill>
                  <pic:spPr>
                    <a:xfrm rot="5400000">
                      <a:off x="0" y="0"/>
                      <a:ext cx="674598" cy="505799"/>
                    </a:xfrm>
                    <a:prstGeom prst="rect">
                      <a:avLst/>
                    </a:prstGeom>
                  </pic:spPr>
                </pic:pic>
              </a:graphicData>
            </a:graphic>
          </wp:inline>
        </w:drawing>
      </w:r>
      <w:r w:rsidR="008756E6">
        <w:rPr>
          <w:noProof/>
        </w:rPr>
        <w:t xml:space="preserve">              </w:t>
      </w:r>
      <w:r w:rsidR="00A9710C">
        <w:rPr>
          <w:rFonts w:ascii="Arial"/>
          <w:color w:val="BF5A14"/>
        </w:rPr>
        <w:t>Biography</w:t>
      </w:r>
    </w:p>
    <w:p w14:paraId="59066142" w14:textId="1A4F5AB4" w:rsidR="00BF1E62" w:rsidRDefault="00B718C5">
      <w:pPr>
        <w:spacing w:before="41" w:line="154" w:lineRule="exact"/>
        <w:ind w:left="213" w:right="231"/>
        <w:jc w:val="both"/>
        <w:rPr>
          <w:rFonts w:ascii="Arial"/>
          <w:sz w:val="14"/>
        </w:rPr>
      </w:pPr>
      <w:r>
        <w:rPr>
          <w:rFonts w:ascii="Arial"/>
          <w:sz w:val="14"/>
        </w:rPr>
        <w:t>Pierpaolo Croce</w:t>
      </w:r>
      <w:r w:rsidR="00A9710C">
        <w:rPr>
          <w:rFonts w:ascii="Arial"/>
          <w:sz w:val="14"/>
        </w:rPr>
        <w:t xml:space="preserve"> has</w:t>
      </w:r>
      <w:r w:rsidR="002645B8">
        <w:rPr>
          <w:rFonts w:ascii="Arial"/>
          <w:sz w:val="14"/>
        </w:rPr>
        <w:t xml:space="preserve"> a back-ground in Engineering and Electrophysiological Data </w:t>
      </w:r>
      <w:r w:rsidR="00AB65DA">
        <w:rPr>
          <w:rFonts w:ascii="Arial"/>
          <w:sz w:val="14"/>
        </w:rPr>
        <w:t>Analysis with</w:t>
      </w:r>
      <w:r w:rsidR="002645B8">
        <w:rPr>
          <w:rFonts w:ascii="Arial"/>
          <w:sz w:val="14"/>
        </w:rPr>
        <w:t xml:space="preserve"> specific emphasis </w:t>
      </w:r>
      <w:r w:rsidR="00FA75FF">
        <w:rPr>
          <w:rFonts w:ascii="Arial"/>
          <w:sz w:val="14"/>
        </w:rPr>
        <w:t>on</w:t>
      </w:r>
      <w:r w:rsidR="002645B8">
        <w:rPr>
          <w:rFonts w:ascii="Arial"/>
          <w:sz w:val="14"/>
        </w:rPr>
        <w:t xml:space="preserve"> Electroencephalography</w:t>
      </w:r>
      <w:r w:rsidR="00BF1E62">
        <w:rPr>
          <w:rFonts w:ascii="Arial"/>
          <w:sz w:val="14"/>
        </w:rPr>
        <w:t xml:space="preserve"> (EEG)</w:t>
      </w:r>
      <w:r w:rsidR="002645B8">
        <w:rPr>
          <w:rFonts w:ascii="Arial"/>
          <w:sz w:val="14"/>
        </w:rPr>
        <w:t xml:space="preserve">, Functional Magnetic Resonance (fMRI) and </w:t>
      </w:r>
      <w:r w:rsidR="002645B8" w:rsidRPr="002645B8">
        <w:rPr>
          <w:rFonts w:ascii="Arial"/>
          <w:sz w:val="14"/>
        </w:rPr>
        <w:t xml:space="preserve">Functional </w:t>
      </w:r>
      <w:r w:rsidR="002645B8">
        <w:rPr>
          <w:rFonts w:ascii="Arial"/>
          <w:sz w:val="14"/>
        </w:rPr>
        <w:t>N</w:t>
      </w:r>
      <w:r w:rsidR="002645B8" w:rsidRPr="002645B8">
        <w:rPr>
          <w:rFonts w:ascii="Arial"/>
          <w:sz w:val="14"/>
        </w:rPr>
        <w:t>ear-</w:t>
      </w:r>
      <w:r w:rsidR="002645B8">
        <w:rPr>
          <w:rFonts w:ascii="Arial"/>
          <w:sz w:val="14"/>
        </w:rPr>
        <w:t>I</w:t>
      </w:r>
      <w:r w:rsidR="002645B8" w:rsidRPr="002645B8">
        <w:rPr>
          <w:rFonts w:ascii="Arial"/>
          <w:sz w:val="14"/>
        </w:rPr>
        <w:t xml:space="preserve">nfrared </w:t>
      </w:r>
      <w:r w:rsidR="002645B8">
        <w:rPr>
          <w:rFonts w:ascii="Arial"/>
          <w:sz w:val="14"/>
        </w:rPr>
        <w:t>S</w:t>
      </w:r>
      <w:r w:rsidR="002645B8" w:rsidRPr="002645B8">
        <w:rPr>
          <w:rFonts w:ascii="Arial"/>
          <w:sz w:val="14"/>
        </w:rPr>
        <w:t>pectroscopy (</w:t>
      </w:r>
      <w:proofErr w:type="spellStart"/>
      <w:r w:rsidR="002645B8" w:rsidRPr="002645B8">
        <w:rPr>
          <w:rFonts w:ascii="Arial"/>
          <w:sz w:val="14"/>
        </w:rPr>
        <w:t>fNIRS</w:t>
      </w:r>
      <w:proofErr w:type="spellEnd"/>
      <w:r w:rsidR="002645B8" w:rsidRPr="002645B8">
        <w:rPr>
          <w:rFonts w:ascii="Arial"/>
          <w:sz w:val="14"/>
        </w:rPr>
        <w:t>)</w:t>
      </w:r>
      <w:r w:rsidR="00BF1E62">
        <w:rPr>
          <w:rFonts w:ascii="Arial"/>
          <w:sz w:val="14"/>
        </w:rPr>
        <w:t xml:space="preserve"> data analysis. </w:t>
      </w:r>
      <w:proofErr w:type="gramStart"/>
      <w:r w:rsidR="00BF1E62">
        <w:rPr>
          <w:rFonts w:ascii="Arial"/>
          <w:sz w:val="14"/>
        </w:rPr>
        <w:t>In particular</w:t>
      </w:r>
      <w:r w:rsidR="002645B8">
        <w:rPr>
          <w:rFonts w:ascii="Arial"/>
          <w:sz w:val="14"/>
        </w:rPr>
        <w:t>, his</w:t>
      </w:r>
      <w:proofErr w:type="gramEnd"/>
      <w:r w:rsidR="002645B8">
        <w:rPr>
          <w:rFonts w:ascii="Arial"/>
          <w:sz w:val="14"/>
        </w:rPr>
        <w:t xml:space="preserve"> work is focused on</w:t>
      </w:r>
      <w:r w:rsidR="00A9710C">
        <w:rPr>
          <w:rFonts w:ascii="Arial"/>
          <w:sz w:val="14"/>
        </w:rPr>
        <w:t xml:space="preserve"> evaluation</w:t>
      </w:r>
      <w:r w:rsidR="00BF1E62">
        <w:rPr>
          <w:rFonts w:ascii="Arial"/>
          <w:sz w:val="14"/>
        </w:rPr>
        <w:t xml:space="preserve"> of global connectivity metrics </w:t>
      </w:r>
      <w:r w:rsidR="00010585">
        <w:rPr>
          <w:rFonts w:ascii="Arial"/>
          <w:sz w:val="14"/>
        </w:rPr>
        <w:t xml:space="preserve">extracted from </w:t>
      </w:r>
      <w:r w:rsidR="002645B8">
        <w:rPr>
          <w:rFonts w:ascii="Arial"/>
          <w:sz w:val="14"/>
        </w:rPr>
        <w:t>multimodal Electrophysiological</w:t>
      </w:r>
      <w:r w:rsidR="00010585">
        <w:rPr>
          <w:rFonts w:ascii="Arial"/>
          <w:sz w:val="14"/>
        </w:rPr>
        <w:t xml:space="preserve"> </w:t>
      </w:r>
      <w:r w:rsidR="0067416D">
        <w:rPr>
          <w:rFonts w:ascii="Arial"/>
          <w:sz w:val="14"/>
        </w:rPr>
        <w:t>measurements (</w:t>
      </w:r>
      <w:r w:rsidR="002645B8">
        <w:rPr>
          <w:rFonts w:ascii="Arial"/>
          <w:sz w:val="14"/>
        </w:rPr>
        <w:t xml:space="preserve">EEG, fMRI, </w:t>
      </w:r>
      <w:proofErr w:type="spellStart"/>
      <w:r w:rsidR="002645B8">
        <w:rPr>
          <w:rFonts w:ascii="Arial"/>
          <w:sz w:val="14"/>
        </w:rPr>
        <w:t>fNIRS</w:t>
      </w:r>
      <w:proofErr w:type="spellEnd"/>
      <w:r w:rsidR="002645B8">
        <w:rPr>
          <w:rFonts w:ascii="Arial"/>
          <w:sz w:val="14"/>
        </w:rPr>
        <w:t>)</w:t>
      </w:r>
      <w:r w:rsidR="00010585">
        <w:rPr>
          <w:rFonts w:ascii="Arial"/>
          <w:sz w:val="14"/>
        </w:rPr>
        <w:t xml:space="preserve"> to be used as prognostic </w:t>
      </w:r>
      <w:r w:rsidR="002645B8">
        <w:rPr>
          <w:rFonts w:ascii="Arial"/>
          <w:sz w:val="14"/>
        </w:rPr>
        <w:t>indices</w:t>
      </w:r>
      <w:r w:rsidR="00010585">
        <w:rPr>
          <w:rFonts w:ascii="Arial"/>
          <w:sz w:val="14"/>
        </w:rPr>
        <w:t xml:space="preserve"> in </w:t>
      </w:r>
      <w:r w:rsidR="002645B8">
        <w:rPr>
          <w:rFonts w:ascii="Arial"/>
          <w:sz w:val="14"/>
        </w:rPr>
        <w:t>neurological</w:t>
      </w:r>
      <w:r w:rsidR="00010585">
        <w:rPr>
          <w:rFonts w:ascii="Arial"/>
          <w:sz w:val="14"/>
        </w:rPr>
        <w:t xml:space="preserve"> </w:t>
      </w:r>
      <w:r w:rsidR="002645B8">
        <w:rPr>
          <w:rFonts w:ascii="Arial"/>
          <w:sz w:val="14"/>
        </w:rPr>
        <w:t>diseases</w:t>
      </w:r>
      <w:r w:rsidR="00010585">
        <w:rPr>
          <w:rFonts w:ascii="Arial"/>
          <w:sz w:val="14"/>
        </w:rPr>
        <w:t xml:space="preserve"> such as </w:t>
      </w:r>
      <w:r w:rsidR="00010585" w:rsidRPr="00010585">
        <w:rPr>
          <w:rFonts w:ascii="Arial"/>
          <w:sz w:val="14"/>
        </w:rPr>
        <w:t xml:space="preserve">Alzheimer </w:t>
      </w:r>
      <w:r w:rsidR="002645B8">
        <w:rPr>
          <w:rFonts w:ascii="Arial"/>
          <w:sz w:val="14"/>
        </w:rPr>
        <w:t xml:space="preserve">disease </w:t>
      </w:r>
      <w:r w:rsidR="00010585" w:rsidRPr="00010585">
        <w:rPr>
          <w:rFonts w:ascii="Arial"/>
          <w:sz w:val="14"/>
        </w:rPr>
        <w:t>o</w:t>
      </w:r>
      <w:r w:rsidR="002645B8">
        <w:rPr>
          <w:rFonts w:ascii="Arial"/>
          <w:sz w:val="14"/>
        </w:rPr>
        <w:t>r</w:t>
      </w:r>
      <w:r w:rsidR="00010585" w:rsidRPr="00010585">
        <w:rPr>
          <w:rFonts w:ascii="Arial"/>
          <w:sz w:val="14"/>
        </w:rPr>
        <w:t xml:space="preserve"> Stroke</w:t>
      </w:r>
      <w:r w:rsidR="00010585">
        <w:rPr>
          <w:rFonts w:ascii="Arial"/>
          <w:sz w:val="14"/>
        </w:rPr>
        <w:t xml:space="preserve">. </w:t>
      </w:r>
      <w:r w:rsidR="00617857">
        <w:rPr>
          <w:rFonts w:ascii="Arial"/>
          <w:sz w:val="14"/>
        </w:rPr>
        <w:t xml:space="preserve">Moreover, his activity is also focused on the evaluation of modifications of such indices obtained by trans-cranial magnetic stimulation (TMS). This aspect is strictly related to the use of connectivity </w:t>
      </w:r>
      <w:r w:rsidR="00B825F5">
        <w:rPr>
          <w:rFonts w:ascii="Arial"/>
          <w:sz w:val="14"/>
        </w:rPr>
        <w:t>indices</w:t>
      </w:r>
      <w:r w:rsidR="00617857">
        <w:rPr>
          <w:rFonts w:ascii="Arial"/>
          <w:sz w:val="14"/>
        </w:rPr>
        <w:t xml:space="preserve"> as tools for the evaluation of the </w:t>
      </w:r>
      <w:r w:rsidR="00B825F5">
        <w:rPr>
          <w:rFonts w:ascii="Arial"/>
          <w:sz w:val="14"/>
        </w:rPr>
        <w:t xml:space="preserve">disease recovery. </w:t>
      </w:r>
    </w:p>
    <w:p w14:paraId="5B5D235C" w14:textId="1F2272EA" w:rsidR="00617857" w:rsidRDefault="00617857">
      <w:pPr>
        <w:spacing w:before="41" w:line="154" w:lineRule="exact"/>
        <w:ind w:left="213" w:right="231"/>
        <w:jc w:val="both"/>
        <w:rPr>
          <w:rFonts w:ascii="Arial"/>
          <w:sz w:val="14"/>
        </w:rPr>
      </w:pPr>
    </w:p>
    <w:p w14:paraId="3DEB566C" w14:textId="798B20DA" w:rsidR="00AE3E37" w:rsidRDefault="00A9710C">
      <w:pPr>
        <w:spacing w:before="62"/>
        <w:ind w:left="4217" w:right="4235"/>
        <w:jc w:val="center"/>
        <w:rPr>
          <w:rFonts w:ascii="Arial"/>
          <w:sz w:val="14"/>
        </w:rPr>
      </w:pPr>
      <w:r>
        <w:rPr>
          <w:rFonts w:ascii="Arial"/>
          <w:sz w:val="14"/>
        </w:rPr>
        <w:t xml:space="preserve">Email: </w:t>
      </w:r>
      <w:hyperlink r:id="rId11" w:history="1">
        <w:r w:rsidR="0037550D" w:rsidRPr="00CE6406">
          <w:rPr>
            <w:rStyle w:val="Collegamentoipertestuale"/>
            <w:rFonts w:ascii="Arial"/>
            <w:sz w:val="14"/>
          </w:rPr>
          <w:t>pierpaolo.croce@unich.it</w:t>
        </w:r>
      </w:hyperlink>
    </w:p>
    <w:p w14:paraId="085F334C" w14:textId="77777777" w:rsidR="00AE3E37" w:rsidRDefault="00292ED9">
      <w:pPr>
        <w:pStyle w:val="Corpotesto"/>
        <w:spacing w:before="2"/>
        <w:rPr>
          <w:rFonts w:ascii="Arial"/>
          <w:sz w:val="19"/>
        </w:rPr>
      </w:pPr>
      <w:r>
        <w:rPr>
          <w:noProof/>
        </w:rPr>
        <mc:AlternateContent>
          <mc:Choice Requires="wps">
            <w:drawing>
              <wp:anchor distT="0" distB="0" distL="0" distR="0" simplePos="0" relativeHeight="1072" behindDoc="0" locked="0" layoutInCell="1" allowOverlap="1" wp14:anchorId="21A3F84B" wp14:editId="2A791A1B">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B77C8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73F97B7" w14:textId="77777777" w:rsidR="00AE3E37" w:rsidRDefault="00AE3E37">
      <w:pPr>
        <w:pStyle w:val="Corpotesto"/>
        <w:rPr>
          <w:rFonts w:ascii="Arial"/>
          <w:sz w:val="20"/>
        </w:rPr>
      </w:pPr>
    </w:p>
    <w:p w14:paraId="6DAC2EA7" w14:textId="77777777" w:rsidR="00AE3E37" w:rsidRDefault="00AE3E37">
      <w:pPr>
        <w:pStyle w:val="Corpotesto"/>
        <w:rPr>
          <w:rFonts w:ascii="Arial"/>
          <w:sz w:val="20"/>
        </w:rPr>
      </w:pPr>
    </w:p>
    <w:p w14:paraId="0186C172" w14:textId="77777777" w:rsidR="00AE3E37" w:rsidRDefault="00AE3E37">
      <w:pPr>
        <w:pStyle w:val="Corpotesto"/>
        <w:spacing w:before="7"/>
        <w:rPr>
          <w:rFonts w:ascii="Arial"/>
          <w:sz w:val="29"/>
        </w:rPr>
      </w:pPr>
    </w:p>
    <w:p w14:paraId="0E37B64C" w14:textId="641777B0" w:rsidR="00AE3E37" w:rsidRPr="009F4024" w:rsidRDefault="00A9710C" w:rsidP="009F4024">
      <w:pPr>
        <w:spacing w:before="39"/>
        <w:ind w:left="100"/>
        <w:rPr>
          <w:rFonts w:ascii="Minion Pro"/>
          <w:b/>
          <w:sz w:val="20"/>
        </w:rPr>
        <w:sectPr w:rsidR="00AE3E37" w:rsidRPr="009F4024" w:rsidSect="008E5477">
          <w:type w:val="continuous"/>
          <w:pgSz w:w="11910" w:h="16840"/>
          <w:pgMar w:top="995" w:right="600" w:bottom="840" w:left="620" w:header="720" w:footer="720" w:gutter="0"/>
          <w:cols w:space="720"/>
        </w:sectPr>
      </w:pPr>
      <w:r w:rsidRPr="00B21A57">
        <w:rPr>
          <w:rFonts w:ascii="Minion Pro"/>
          <w:b/>
          <w:sz w:val="20"/>
        </w:rPr>
        <w:t>Notes/Comments</w:t>
      </w:r>
    </w:p>
    <w:p w14:paraId="0A594BD4" w14:textId="77777777" w:rsidR="00F046EA" w:rsidRPr="0013708E" w:rsidRDefault="00F046EA" w:rsidP="00F046EA">
      <w:pPr>
        <w:jc w:val="both"/>
        <w:rPr>
          <w:b/>
        </w:rPr>
      </w:pPr>
      <w:r w:rsidRPr="0013708E">
        <w:rPr>
          <w:b/>
        </w:rPr>
        <w:lastRenderedPageBreak/>
        <w:t xml:space="preserve">Presenting author details </w:t>
      </w:r>
    </w:p>
    <w:p w14:paraId="1EBEC76A" w14:textId="26302BD9" w:rsidR="00F046EA" w:rsidRPr="00535794" w:rsidRDefault="00F046EA" w:rsidP="00F046EA">
      <w:pPr>
        <w:jc w:val="both"/>
      </w:pPr>
      <w:r w:rsidRPr="00535794">
        <w:t xml:space="preserve">Full name: </w:t>
      </w:r>
      <w:r w:rsidR="00FC01B5" w:rsidRPr="00535794">
        <w:t>Pierpaolo Arturo Croce</w:t>
      </w:r>
    </w:p>
    <w:p w14:paraId="17F502F7" w14:textId="07842241" w:rsidR="00F046EA" w:rsidRDefault="00F046EA" w:rsidP="00F046EA">
      <w:pPr>
        <w:jc w:val="both"/>
      </w:pPr>
      <w:r w:rsidRPr="0013708E">
        <w:t>Contact number:</w:t>
      </w:r>
      <w:r w:rsidR="00FC01B5">
        <w:t xml:space="preserve"> 3496735489</w:t>
      </w:r>
    </w:p>
    <w:p w14:paraId="2D7F8A92" w14:textId="6EDB3017" w:rsidR="00F046EA" w:rsidRPr="0013708E" w:rsidRDefault="00F046EA" w:rsidP="00F046EA">
      <w:pPr>
        <w:jc w:val="both"/>
      </w:pPr>
      <w:r>
        <w:t xml:space="preserve">Mail id: </w:t>
      </w:r>
      <w:r w:rsidR="00FC01B5">
        <w:t>pierpaolo.croce@unich.it</w:t>
      </w:r>
    </w:p>
    <w:p w14:paraId="10F3D427" w14:textId="1E48913A" w:rsidR="00F046EA" w:rsidRDefault="00F046EA" w:rsidP="00F046EA">
      <w:pPr>
        <w:jc w:val="both"/>
      </w:pPr>
      <w:r w:rsidRPr="0013708E">
        <w:t>Category: Oral presentation</w:t>
      </w:r>
      <w:r>
        <w:t xml:space="preserve"> </w:t>
      </w:r>
    </w:p>
    <w:p w14:paraId="751E9479" w14:textId="77777777" w:rsidR="00AE3E37" w:rsidRDefault="00AE3E37">
      <w:pPr>
        <w:pStyle w:val="Corpotesto"/>
        <w:spacing w:before="3"/>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E93DD6" w14:textId="77777777" w:rsidR="0029066A" w:rsidRDefault="0029066A">
      <w:r>
        <w:separator/>
      </w:r>
    </w:p>
  </w:endnote>
  <w:endnote w:type="continuationSeparator" w:id="0">
    <w:p w14:paraId="5298C4D9" w14:textId="77777777" w:rsidR="0029066A" w:rsidRDefault="002906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EBF995" w14:textId="2920A16E" w:rsidR="00AE3E37" w:rsidRDefault="00292ED9">
    <w:pPr>
      <w:pStyle w:val="Corpotesto"/>
      <w:spacing w:line="14" w:lineRule="auto"/>
      <w:rPr>
        <w:sz w:val="20"/>
      </w:rPr>
    </w:pPr>
    <w:r>
      <w:rPr>
        <w:noProof/>
      </w:rPr>
      <mc:AlternateContent>
        <mc:Choice Requires="wps">
          <w:drawing>
            <wp:anchor distT="0" distB="0" distL="114300" distR="114300" simplePos="0" relativeHeight="503311952" behindDoc="1" locked="0" layoutInCell="1" allowOverlap="1" wp14:anchorId="3344F0DC" wp14:editId="63DDCB28">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E3E3B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CA2FB0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344F0DC"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" filled="f" stroked="f">
              <v:textbox inset="0,0,0,0">
                <w:txbxContent>
                  <w:p w14:paraId="37E3E3B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CA2FB08"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7C1E8EDA" wp14:editId="3B5B3CC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212DC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BE5A06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1E8EDA"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l8s0QekBAAC9AwAADgAAAAAAAAAAAAAAAAAuAgAAZHJzL2Uyb0Rv&#10;Yy54bWxQSwECLQAUAAYACAAAACEA4y1yTuIAAAAOAQAADwAAAAAAAAAAAAAAAABDBAAAZHJzL2Rv&#10;d25yZXYueG1sUEsFBgAAAAAEAAQA8wAAAFIFAAAAAA==&#10;" filled="f" stroked="f">
              <v:textbox inset="0,0,0,0">
                <w:txbxContent>
                  <w:p w14:paraId="38212DC5"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6BE5A06D"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0DFBE6" w14:textId="77777777" w:rsidR="0029066A" w:rsidRDefault="0029066A">
      <w:r>
        <w:separator/>
      </w:r>
    </w:p>
  </w:footnote>
  <w:footnote w:type="continuationSeparator" w:id="0">
    <w:p w14:paraId="4E680DB6" w14:textId="77777777" w:rsidR="0029066A" w:rsidRDefault="0029066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10585"/>
    <w:rsid w:val="000E2911"/>
    <w:rsid w:val="001263DF"/>
    <w:rsid w:val="001941F6"/>
    <w:rsid w:val="001E46C3"/>
    <w:rsid w:val="002045CF"/>
    <w:rsid w:val="002645B8"/>
    <w:rsid w:val="0029066A"/>
    <w:rsid w:val="00291D6A"/>
    <w:rsid w:val="00292ED9"/>
    <w:rsid w:val="00351D9B"/>
    <w:rsid w:val="0037550D"/>
    <w:rsid w:val="00380299"/>
    <w:rsid w:val="00404E5B"/>
    <w:rsid w:val="00414F7B"/>
    <w:rsid w:val="0043209E"/>
    <w:rsid w:val="004355DC"/>
    <w:rsid w:val="004749B4"/>
    <w:rsid w:val="00494130"/>
    <w:rsid w:val="004D1845"/>
    <w:rsid w:val="004F3523"/>
    <w:rsid w:val="00535794"/>
    <w:rsid w:val="00583F58"/>
    <w:rsid w:val="005973B9"/>
    <w:rsid w:val="005B3A56"/>
    <w:rsid w:val="006060CE"/>
    <w:rsid w:val="0061505C"/>
    <w:rsid w:val="00617857"/>
    <w:rsid w:val="0063497F"/>
    <w:rsid w:val="0067416D"/>
    <w:rsid w:val="00702B95"/>
    <w:rsid w:val="00714354"/>
    <w:rsid w:val="00757451"/>
    <w:rsid w:val="007F7938"/>
    <w:rsid w:val="00873DF0"/>
    <w:rsid w:val="008756E6"/>
    <w:rsid w:val="00897EC5"/>
    <w:rsid w:val="008E5477"/>
    <w:rsid w:val="009B2D44"/>
    <w:rsid w:val="009F4024"/>
    <w:rsid w:val="00A07E82"/>
    <w:rsid w:val="00A52075"/>
    <w:rsid w:val="00A9710C"/>
    <w:rsid w:val="00AB65DA"/>
    <w:rsid w:val="00AC3793"/>
    <w:rsid w:val="00AE3E37"/>
    <w:rsid w:val="00B21A57"/>
    <w:rsid w:val="00B718C5"/>
    <w:rsid w:val="00B825F5"/>
    <w:rsid w:val="00BE1045"/>
    <w:rsid w:val="00BF1E62"/>
    <w:rsid w:val="00C33602"/>
    <w:rsid w:val="00C43354"/>
    <w:rsid w:val="00C56C74"/>
    <w:rsid w:val="00CD6F55"/>
    <w:rsid w:val="00DE215D"/>
    <w:rsid w:val="00DE3104"/>
    <w:rsid w:val="00DE6170"/>
    <w:rsid w:val="00E30AAC"/>
    <w:rsid w:val="00E95D97"/>
    <w:rsid w:val="00F046EA"/>
    <w:rsid w:val="00F72EEA"/>
    <w:rsid w:val="00F84CAE"/>
    <w:rsid w:val="00FA41DE"/>
    <w:rsid w:val="00FA75FF"/>
    <w:rsid w:val="00FC01B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915175"/>
  <w15:docId w15:val="{E381CC67-CE29-4406-BCB2-C4707FF5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link w:val="Corpo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testoCarattere">
    <w:name w:val="Corpo testo Carattere"/>
    <w:basedOn w:val="Carpredefinitoparagrafo"/>
    <w:link w:val="Corpotesto"/>
    <w:uiPriority w:val="1"/>
    <w:rsid w:val="005973B9"/>
    <w:rPr>
      <w:rFonts w:ascii="Tw Cen MT" w:eastAsia="Tw Cen MT" w:hAnsi="Tw Cen MT" w:cs="Tw Cen MT"/>
      <w:sz w:val="18"/>
      <w:szCs w:val="18"/>
    </w:rPr>
  </w:style>
  <w:style w:type="character" w:styleId="Menzionenonrisolta">
    <w:name w:val="Unresolved Mention"/>
    <w:basedOn w:val="Carpredefinitoparagrafo"/>
    <w:uiPriority w:val="99"/>
    <w:semiHidden/>
    <w:unhideWhenUsed/>
    <w:rsid w:val="00FC01B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168612">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358156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ierpaolo.croce@unich.it" TargetMode="Externa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652</Words>
  <Characters>3722</Characters>
  <Application>Microsoft Office Word</Application>
  <DocSecurity>0</DocSecurity>
  <Lines>31</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pierpaolo croce</cp:lastModifiedBy>
  <cp:revision>2</cp:revision>
  <dcterms:created xsi:type="dcterms:W3CDTF">2021-09-08T12:56:00Z</dcterms:created>
  <dcterms:modified xsi:type="dcterms:W3CDTF">2021-09-08T12:56:00Z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