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jelo"/>
        <w:rPr>
          <w:b w:val="1"/>
          <w:bCs w:val="1"/>
        </w:rPr>
      </w:pPr>
      <w:r>
        <w:rPr>
          <w:b w:val="1"/>
          <w:bCs w:val="1"/>
          <w:rtl w:val="0"/>
        </w:rPr>
        <w:t>Topic: Alzheimer communities in SE Europe - the new vision     - ORAL PRESENTATION</w:t>
      </w:r>
    </w:p>
    <w:p>
      <w:pPr>
        <w:pStyle w:val="Tijelo"/>
        <w:bidi w:val="0"/>
      </w:pPr>
    </w:p>
    <w:p>
      <w:pPr>
        <w:pStyle w:val="Tijelo"/>
        <w:rPr>
          <w:b w:val="1"/>
          <w:bCs w:val="1"/>
        </w:rPr>
      </w:pPr>
      <w:r>
        <w:rPr>
          <w:b w:val="1"/>
          <w:bCs w:val="1"/>
          <w:rtl w:val="0"/>
        </w:rPr>
        <w:t>Author: Osman Ku</w:t>
      </w:r>
      <w:r>
        <w:rPr>
          <w:b w:val="1"/>
          <w:bCs w:val="1"/>
          <w:rtl w:val="0"/>
        </w:rPr>
        <w:t>č</w:t>
      </w:r>
      <w:r>
        <w:rPr>
          <w:b w:val="1"/>
          <w:bCs w:val="1"/>
          <w:rtl w:val="0"/>
        </w:rPr>
        <w:t xml:space="preserve">uk; </w:t>
      </w:r>
      <w:r>
        <w:rPr>
          <w:b w:val="0"/>
          <w:bCs w:val="0"/>
          <w:rtl w:val="0"/>
        </w:rPr>
        <w:t>osman@demencija.org</w:t>
      </w:r>
    </w:p>
    <w:p>
      <w:pPr>
        <w:pStyle w:val="Tijelo"/>
        <w:rPr>
          <w:b w:val="1"/>
          <w:bCs w:val="1"/>
        </w:rPr>
      </w:pPr>
      <w:r>
        <w:rPr>
          <w:b w:val="1"/>
          <w:bCs w:val="1"/>
          <w:rtl w:val="0"/>
        </w:rPr>
        <w:t>Coauthor: Emina Ku</w:t>
      </w:r>
      <w:r>
        <w:rPr>
          <w:b w:val="1"/>
          <w:bCs w:val="1"/>
          <w:rtl w:val="0"/>
        </w:rPr>
        <w:t>č</w:t>
      </w:r>
      <w:r>
        <w:rPr>
          <w:b w:val="1"/>
          <w:bCs w:val="1"/>
          <w:rtl w:val="0"/>
        </w:rPr>
        <w:t xml:space="preserve">uk; </w:t>
      </w:r>
      <w:r>
        <w:rPr>
          <w:b w:val="0"/>
          <w:bCs w:val="0"/>
          <w:rtl w:val="0"/>
        </w:rPr>
        <w:t>emina.kucuk5@gmail.com</w:t>
      </w:r>
    </w:p>
    <w:p>
      <w:pPr>
        <w:pStyle w:val="Tijelo"/>
        <w:rPr>
          <w:b w:val="1"/>
          <w:bCs w:val="1"/>
        </w:rPr>
      </w:pPr>
      <w:r>
        <w:rPr>
          <w:b w:val="1"/>
          <w:bCs w:val="1"/>
          <w:rtl w:val="0"/>
        </w:rPr>
        <w:t>Institution: Center for dementia Sarajevo</w:t>
      </w:r>
    </w:p>
    <w:p>
      <w:pPr>
        <w:pStyle w:val="Tijelo"/>
        <w:rPr>
          <w:b w:val="1"/>
          <w:bCs w:val="1"/>
          <w:u w:val="single"/>
        </w:rPr>
      </w:pPr>
      <w:r>
        <w:rPr>
          <w:b w:val="1"/>
          <w:bCs w:val="1"/>
          <w:u w:val="single"/>
          <w:rtl w:val="0"/>
        </w:rPr>
        <w:t>presenter : Osman Ku</w:t>
      </w:r>
      <w:r>
        <w:rPr>
          <w:b w:val="1"/>
          <w:bCs w:val="1"/>
          <w:u w:val="single"/>
          <w:rtl w:val="0"/>
        </w:rPr>
        <w:t>č</w:t>
      </w:r>
      <w:r>
        <w:rPr>
          <w:b w:val="1"/>
          <w:bCs w:val="1"/>
          <w:u w:val="single"/>
          <w:rtl w:val="0"/>
        </w:rPr>
        <w:t>uk</w:t>
      </w:r>
    </w:p>
    <w:p>
      <w:pPr>
        <w:pStyle w:val="Tijelo"/>
        <w:bidi w:val="0"/>
      </w:pPr>
    </w:p>
    <w:p>
      <w:pPr>
        <w:pStyle w:val="Tijelo"/>
        <w:bidi w:val="0"/>
      </w:pPr>
      <w:r>
        <w:rPr>
          <w:b w:val="1"/>
          <w:bCs w:val="1"/>
          <w:u w:color="000000"/>
          <w:rtl w:val="0"/>
          <w:lang w:val="en-US"/>
        </w:rPr>
        <w:t xml:space="preserve">Background: </w:t>
      </w:r>
      <w:r>
        <w:rPr>
          <w:rtl w:val="0"/>
          <w:lang w:val="en-US"/>
        </w:rPr>
        <w:t xml:space="preserve">Due to demographic changes </w:t>
      </w:r>
      <w:r>
        <w:rPr>
          <w:rtl w:val="0"/>
        </w:rPr>
        <w:t>i</w:t>
      </w:r>
      <w:r>
        <w:rPr>
          <w:rtl w:val="0"/>
          <w:lang w:val="fr-FR"/>
        </w:rPr>
        <w:t>n SE Europe ag</w:t>
      </w:r>
      <w:r>
        <w:rPr>
          <w:rtl w:val="0"/>
        </w:rPr>
        <w:t>e</w:t>
      </w:r>
      <w:r>
        <w:rPr>
          <w:rtl w:val="0"/>
          <w:lang w:val="en-US"/>
        </w:rPr>
        <w:t>ing have accel</w:t>
      </w:r>
      <w:r>
        <w:rPr>
          <w:rtl w:val="0"/>
        </w:rPr>
        <w:t>e</w:t>
      </w:r>
      <w:r>
        <w:rPr>
          <w:rtl w:val="0"/>
          <w:lang w:val="en-US"/>
        </w:rPr>
        <w:t>rate pace. Until 2030., percentage of older adults will be 30% of total population what is twice as big as average world percentage and almost twice more than 2010.</w:t>
      </w:r>
      <w:r>
        <w:rPr>
          <w:rtl w:val="0"/>
        </w:rPr>
        <w:t xml:space="preserve"> In the same time life expectancy will be 78 years and it is 17 years more than 1991. when happened social changes in SE Europe(SEE). Expect age of population is 47 years and it is on top of functional adjusted environment. Until 2030. SEE will lose 15% of population due to migration and deaths</w:t>
      </w:r>
      <w:r>
        <w:rPr>
          <w:outline w:val="0"/>
          <w:color w:val="191919"/>
          <w:u w:color="191919"/>
          <w:rtl w:val="0"/>
          <w:lang w:val="en-US"/>
          <w14:textFill>
            <w14:solidFill>
              <w14:srgbClr w14:val="191919"/>
            </w14:solidFill>
          </w14:textFill>
        </w:rPr>
        <w:t>(UN DESA</w:t>
      </w:r>
      <w:r>
        <w:rPr>
          <w:outline w:val="0"/>
          <w:color w:val="191919"/>
          <w:u w:color="191919"/>
          <w:rtl w:val="0"/>
          <w:lang w:val="en-US"/>
          <w14:textFill>
            <w14:solidFill>
              <w14:srgbClr w14:val="191919"/>
            </w14:solidFill>
          </w14:textFill>
        </w:rPr>
        <w:t xml:space="preserve"> </w:t>
      </w:r>
      <w:r>
        <w:rPr>
          <w:outline w:val="0"/>
          <w:color w:val="191919"/>
          <w:u w:color="191919"/>
          <w:rtl w:val="0"/>
          <w:lang w:val="en-US"/>
          <w14:textFill>
            <w14:solidFill>
              <w14:srgbClr w14:val="191919"/>
            </w14:solidFill>
          </w14:textFill>
        </w:rPr>
        <w:t>2015)</w:t>
      </w:r>
      <w:r>
        <w:rPr>
          <w:outline w:val="0"/>
          <w:color w:val="191919"/>
          <w:u w:color="191919"/>
          <w:rtl w:val="0"/>
          <w:lang w:val="en-US"/>
          <w14:textFill>
            <w14:solidFill>
              <w14:srgbClr w14:val="191919"/>
            </w14:solidFill>
          </w14:textFill>
        </w:rPr>
        <w:t>.</w:t>
      </w:r>
      <w:r>
        <w:rPr>
          <w:outline w:val="0"/>
          <w:color w:val="191919"/>
          <w:u w:color="191919"/>
          <w:rtl w:val="0"/>
          <w:lang w:val="en-US"/>
          <w14:textFill>
            <w14:solidFill>
              <w14:srgbClr w14:val="191919"/>
            </w14:solidFill>
          </w14:textFill>
        </w:rPr>
        <w:t xml:space="preserve"> </w:t>
      </w:r>
      <w:r>
        <w:rPr>
          <w:rtl w:val="0"/>
        </w:rPr>
        <w:t>BiH has 150.000 peoples living with dementia(Ku</w:t>
      </w:r>
      <w:r>
        <w:rPr>
          <w:rtl w:val="0"/>
        </w:rPr>
        <w:t>č</w:t>
      </w:r>
      <w:r>
        <w:rPr>
          <w:rtl w:val="0"/>
        </w:rPr>
        <w:t xml:space="preserve">uk 2015). </w:t>
      </w:r>
    </w:p>
    <w:p>
      <w:pPr>
        <w:pStyle w:val="Tijelo"/>
        <w:bidi w:val="0"/>
      </w:pPr>
    </w:p>
    <w:p>
      <w:pPr>
        <w:pStyle w:val="Tijelo"/>
        <w:bidi w:val="0"/>
        <w:rPr>
          <w:outline w:val="0"/>
          <w:color w:val="191919"/>
          <w:sz w:val="22"/>
          <w:szCs w:val="22"/>
          <w:u w:color="191919"/>
          <w14:textFill>
            <w14:solidFill>
              <w14:srgbClr w14:val="191919"/>
            </w14:solidFill>
          </w14:textFill>
        </w:rPr>
      </w:pPr>
      <w:r>
        <w:rPr>
          <w:b w:val="1"/>
          <w:bCs w:val="1"/>
          <w:rtl w:val="0"/>
          <w:lang w:val="en-US"/>
        </w:rPr>
        <w:t xml:space="preserve">Method: </w:t>
      </w:r>
      <w:r>
        <w:rPr>
          <w:outline w:val="0"/>
          <w:color w:val="191919"/>
          <w:sz w:val="22"/>
          <w:szCs w:val="22"/>
          <w:u w:color="191919"/>
          <w:rtl w:val="0"/>
          <w:lang w:val="en-US"/>
          <w14:textFill>
            <w14:solidFill>
              <w14:srgbClr w14:val="191919"/>
            </w14:solidFill>
          </w14:textFill>
        </w:rPr>
        <w:t>The research will compare today's way, organisation and opportunities for life of people living with dementia</w:t>
      </w:r>
      <w:r>
        <w:rPr>
          <w:outline w:val="0"/>
          <w:color w:val="191919"/>
          <w:sz w:val="22"/>
          <w:szCs w:val="22"/>
          <w:u w:color="191919"/>
          <w:rtl w:val="0"/>
          <w:lang w:val="en-US"/>
          <w14:textFill>
            <w14:solidFill>
              <w14:srgbClr w14:val="191919"/>
            </w14:solidFill>
          </w14:textFill>
        </w:rPr>
        <w:t>(PwD)</w:t>
      </w:r>
      <w:r>
        <w:rPr>
          <w:outline w:val="0"/>
          <w:color w:val="191919"/>
          <w:sz w:val="22"/>
          <w:szCs w:val="22"/>
          <w:u w:color="191919"/>
          <w:rtl w:val="0"/>
          <w:lang w:val="en-US"/>
          <w14:textFill>
            <w14:solidFill>
              <w14:srgbClr w14:val="191919"/>
            </w14:solidFill>
          </w14:textFill>
        </w:rPr>
        <w:t xml:space="preserve"> versus possibilities by the system in regarding with recommendations by WHO (Global strategy on Ag</w:t>
      </w:r>
      <w:r>
        <w:rPr>
          <w:outline w:val="0"/>
          <w:color w:val="191919"/>
          <w:sz w:val="22"/>
          <w:szCs w:val="22"/>
          <w:u w:color="191919"/>
          <w:rtl w:val="0"/>
          <w:lang w:val="en-US"/>
          <w14:textFill>
            <w14:solidFill>
              <w14:srgbClr w14:val="191919"/>
            </w14:solidFill>
          </w14:textFill>
        </w:rPr>
        <w:t>e</w:t>
      </w:r>
      <w:r>
        <w:rPr>
          <w:outline w:val="0"/>
          <w:color w:val="191919"/>
          <w:sz w:val="22"/>
          <w:szCs w:val="22"/>
          <w:u w:color="191919"/>
          <w:rtl w:val="0"/>
          <w:lang w:val="en-US"/>
          <w14:textFill>
            <w14:solidFill>
              <w14:srgbClr w14:val="191919"/>
            </w14:solidFill>
          </w14:textFill>
        </w:rPr>
        <w:t xml:space="preserve">ing and Health 2016.-2020.). We shall compare current level of services and offers versus needs of </w:t>
      </w:r>
      <w:r>
        <w:rPr>
          <w:outline w:val="0"/>
          <w:color w:val="191919"/>
          <w:sz w:val="22"/>
          <w:szCs w:val="22"/>
          <w:u w:color="191919"/>
          <w:rtl w:val="0"/>
          <w:lang w:val="en-US"/>
          <w14:textFill>
            <w14:solidFill>
              <w14:srgbClr w14:val="191919"/>
            </w14:solidFill>
          </w14:textFill>
        </w:rPr>
        <w:t>PwD</w:t>
      </w:r>
      <w:r>
        <w:rPr>
          <w:outline w:val="0"/>
          <w:color w:val="191919"/>
          <w:sz w:val="22"/>
          <w:szCs w:val="22"/>
          <w:u w:color="191919"/>
          <w:rtl w:val="0"/>
          <w:lang w:val="en-US"/>
          <w14:textFill>
            <w14:solidFill>
              <w14:srgbClr w14:val="191919"/>
            </w14:solidFill>
          </w14:textFill>
        </w:rPr>
        <w:t xml:space="preserve"> that will be satisfied through self-sustainable system, the system that will be functional for the time of emergency conditions, on base of non-pharmacological approach and in accordance with needs of elderly.</w:t>
      </w:r>
    </w:p>
    <w:p>
      <w:pPr>
        <w:pStyle w:val="Tijelo"/>
        <w:bidi w:val="0"/>
        <w:rPr>
          <w:outline w:val="0"/>
          <w:color w:val="191919"/>
          <w:sz w:val="22"/>
          <w:szCs w:val="22"/>
          <w:u w:color="191919"/>
          <w14:textFill>
            <w14:solidFill>
              <w14:srgbClr w14:val="191919"/>
            </w14:solidFill>
          </w14:textFill>
        </w:rPr>
      </w:pPr>
    </w:p>
    <w:p>
      <w:pPr>
        <w:pStyle w:val="Tijelo"/>
        <w:bidi w:val="0"/>
      </w:pPr>
      <w:r>
        <w:rPr>
          <w:b w:val="1"/>
          <w:bCs w:val="1"/>
          <w:rtl w:val="0"/>
          <w:lang w:val="en-US"/>
        </w:rPr>
        <w:t>Results:</w:t>
      </w:r>
      <w:r>
        <w:rPr>
          <w:rtl w:val="0"/>
        </w:rPr>
        <w:t xml:space="preserve"> In considered cases, today</w:t>
      </w:r>
      <w:r>
        <w:rPr>
          <w:rtl w:val="0"/>
        </w:rPr>
        <w:t>’</w:t>
      </w:r>
      <w:r>
        <w:rPr>
          <w:rtl w:val="0"/>
        </w:rPr>
        <w:t>s systems do not provide the essential services that are in accordance with principles of good health, well being for PwD and don</w:t>
      </w:r>
      <w:r>
        <w:rPr>
          <w:rtl w:val="0"/>
        </w:rPr>
        <w:t>’</w:t>
      </w:r>
      <w:r>
        <w:rPr>
          <w:rtl w:val="0"/>
        </w:rPr>
        <w:t>t reduce inequalities with other groups. But the new housing solution ensure foster the abilities of PwD, deliver person centred integrated care as well as long-term care and offer solutions for everything what current systems can not.</w:t>
      </w:r>
    </w:p>
    <w:p>
      <w:pPr>
        <w:pStyle w:val="Tijelo"/>
        <w:bidi w:val="0"/>
      </w:pPr>
    </w:p>
    <w:p>
      <w:pPr>
        <w:pStyle w:val="Tijelo"/>
        <w:bidi w:val="0"/>
        <w:ind w:left="0" w:right="0" w:firstLine="0"/>
        <w:jc w:val="left"/>
        <w:rPr>
          <w:rFonts w:ascii="Helvetica Neue" w:cs="Helvetica Neue" w:hAnsi="Helvetica Neue" w:eastAsia="Helvetica Neue"/>
          <w:sz w:val="22"/>
          <w:szCs w:val="22"/>
          <w:u w:color="000000"/>
          <w:rtl w:val="0"/>
          <w:lang w:val="en-US"/>
        </w:rPr>
      </w:pPr>
      <w:r>
        <w:rPr>
          <w:rFonts w:ascii="Helvetica Neue" w:hAnsi="Helvetica Neue"/>
          <w:b w:val="1"/>
          <w:bCs w:val="1"/>
          <w:outline w:val="0"/>
          <w:color w:val="000000"/>
          <w:sz w:val="22"/>
          <w:szCs w:val="22"/>
          <w:u w:color="000000"/>
          <w:rtl w:val="0"/>
          <w:lang w:val="en-US"/>
          <w14:textFill>
            <w14:solidFill>
              <w14:srgbClr w14:val="000000"/>
            </w14:solidFill>
          </w14:textFill>
        </w:rPr>
        <w:t xml:space="preserve">Conclusion: </w:t>
      </w:r>
      <w:r>
        <w:rPr>
          <w:rFonts w:ascii="Helvetica Neue" w:hAnsi="Helvetica Neue"/>
          <w:sz w:val="22"/>
          <w:szCs w:val="22"/>
          <w:u w:color="000000"/>
          <w:rtl w:val="0"/>
          <w:lang w:val="en-US"/>
        </w:rPr>
        <w:t>Considered</w:t>
      </w:r>
      <w:r>
        <w:rPr>
          <w:rFonts w:ascii="Helvetica Neue" w:hAnsi="Helvetica Neue"/>
          <w:b w:val="1"/>
          <w:bCs w:val="1"/>
          <w:outline w:val="0"/>
          <w:color w:val="000000"/>
          <w:sz w:val="22"/>
          <w:szCs w:val="22"/>
          <w:u w:color="000000"/>
          <w:rtl w:val="0"/>
          <w:lang w:val="en-US"/>
          <w14:textFill>
            <w14:solidFill>
              <w14:srgbClr w14:val="000000"/>
            </w14:solidFill>
          </w14:textFill>
        </w:rPr>
        <w:t xml:space="preserve"> </w:t>
      </w:r>
      <w:r>
        <w:rPr>
          <w:rFonts w:ascii="Helvetica Neue" w:hAnsi="Helvetica Neue"/>
          <w:sz w:val="22"/>
          <w:szCs w:val="22"/>
          <w:u w:color="000000"/>
          <w:rtl w:val="0"/>
          <w:lang w:val="en-US"/>
        </w:rPr>
        <w:t xml:space="preserve">new housing system offer new hope for </w:t>
      </w:r>
      <w:r>
        <w:rPr>
          <w:rFonts w:ascii="Helvetica Neue" w:hAnsi="Helvetica Neue"/>
          <w:sz w:val="22"/>
          <w:szCs w:val="22"/>
          <w:u w:color="000000"/>
          <w:rtl w:val="0"/>
          <w:lang w:val="en-US"/>
        </w:rPr>
        <w:t>PwD</w:t>
      </w:r>
      <w:r>
        <w:rPr>
          <w:rFonts w:ascii="Helvetica Neue" w:hAnsi="Helvetica Neue"/>
          <w:sz w:val="22"/>
          <w:szCs w:val="22"/>
          <w:u w:color="000000"/>
          <w:rtl w:val="0"/>
          <w:lang w:val="en-US"/>
        </w:rPr>
        <w:t xml:space="preserve"> and </w:t>
      </w:r>
      <w:r>
        <w:rPr>
          <w:rFonts w:ascii="Helvetica Neue" w:hAnsi="Helvetica Neue"/>
          <w:sz w:val="22"/>
          <w:szCs w:val="22"/>
          <w:u w:color="000000"/>
          <w:rtl w:val="0"/>
          <w:lang w:val="en-US"/>
        </w:rPr>
        <w:t>it</w:t>
      </w:r>
      <w:r>
        <w:rPr>
          <w:rFonts w:ascii="Helvetica Neue" w:hAnsi="Helvetica Neue" w:hint="default"/>
          <w:sz w:val="22"/>
          <w:szCs w:val="22"/>
          <w:u w:color="000000"/>
          <w:rtl w:val="0"/>
          <w:lang w:val="en-US"/>
        </w:rPr>
        <w:t>’</w:t>
      </w:r>
      <w:r>
        <w:rPr>
          <w:rFonts w:ascii="Helvetica Neue" w:hAnsi="Helvetica Neue"/>
          <w:sz w:val="22"/>
          <w:szCs w:val="22"/>
          <w:u w:color="000000"/>
          <w:rtl w:val="0"/>
          <w:lang w:val="en-US"/>
        </w:rPr>
        <w:t>s in accordance with the recommendations of WHO. The solution will be implement for the first time in Sarajevo, BiH, and would be pilot that will help to decision makers and politicians to make datas analyses. They can support solution and adopt for wide using that will be supported and included through the systems: health and social care and insurance.</w:t>
      </w:r>
      <w:r>
        <w:rPr>
          <w:rFonts w:ascii="Helvetica Neue" w:hAnsi="Helvetica Neue"/>
          <w:sz w:val="22"/>
          <w:szCs w:val="22"/>
          <w:u w:color="000000"/>
          <w:rtl w:val="0"/>
          <w:lang w:val="en-US"/>
        </w:rPr>
        <w:t xml:space="preserve"> </w:t>
      </w: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r>
        <w:rPr>
          <w:rFonts w:ascii="Helvetica Neue" w:hAnsi="Helvetica Neue"/>
          <w:b w:val="1"/>
          <w:bCs w:val="1"/>
          <w:sz w:val="22"/>
          <w:szCs w:val="22"/>
          <w:u w:color="000000"/>
          <w:rtl w:val="0"/>
          <w:lang w:val="en-US"/>
        </w:rPr>
        <w:t>Keywords:</w:t>
      </w:r>
      <w:r>
        <w:rPr>
          <w:rFonts w:ascii="Helvetica Neue" w:hAnsi="Helvetica Neue"/>
          <w:sz w:val="22"/>
          <w:szCs w:val="22"/>
          <w:u w:color="000000"/>
          <w:rtl w:val="0"/>
          <w:lang w:val="en-US"/>
        </w:rPr>
        <w:t xml:space="preserve"> #dementia, #newhousingsolutions</w:t>
      </w: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bidi w:val="0"/>
        <w:ind w:left="0" w:right="0" w:firstLine="0"/>
        <w:jc w:val="left"/>
        <w:rPr>
          <w:rFonts w:ascii="Helvetica Neue" w:cs="Helvetica Neue" w:hAnsi="Helvetica Neue" w:eastAsia="Helvetica Neue"/>
          <w:sz w:val="22"/>
          <w:szCs w:val="22"/>
          <w:u w:color="000000"/>
          <w:rtl w:val="0"/>
          <w:lang w:val="en-US"/>
        </w:rPr>
      </w:pPr>
    </w:p>
    <w:p>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after="200" w:line="276" w:lineRule="auto"/>
        <w:ind w:left="0" w:right="0" w:firstLine="0"/>
        <w:jc w:val="left"/>
        <w:rPr>
          <w:rFonts w:ascii="Calibri" w:cs="Calibri" w:hAnsi="Calibri" w:eastAsia="Calibri"/>
          <w:u w:color="000000"/>
          <w:rtl w:val="0"/>
        </w:rPr>
      </w:pPr>
      <w:r>
        <w:rPr>
          <w:rFonts w:ascii="Calibri" w:hAnsi="Calibri"/>
          <w:u w:color="000000"/>
          <w:rtl w:val="0"/>
        </w:rPr>
        <w:t>Osman Ku</w:t>
      </w:r>
      <w:r>
        <w:rPr>
          <w:rFonts w:ascii="Calibri" w:hAnsi="Calibri" w:hint="default"/>
          <w:u w:color="000000"/>
          <w:rtl w:val="0"/>
        </w:rPr>
        <w:t>č</w:t>
      </w:r>
      <w:r>
        <w:rPr>
          <w:rFonts w:ascii="Calibri" w:hAnsi="Calibri"/>
          <w:u w:color="000000"/>
          <w:rtl w:val="0"/>
        </w:rPr>
        <w:t xml:space="preserve">uk </w:t>
      </w:r>
    </w:p>
    <w:p>
      <w:pPr>
        <w:pStyle w:val="Tije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spacing w:after="200" w:line="276" w:lineRule="auto"/>
        <w:ind w:left="0" w:right="0" w:firstLine="0"/>
        <w:jc w:val="left"/>
        <w:rPr>
          <w:rtl w:val="0"/>
        </w:rPr>
      </w:pPr>
      <w:r>
        <w:rPr>
          <w:rFonts w:ascii="Calibri" w:hAnsi="Calibri"/>
          <w:u w:color="000000"/>
          <w:rtl w:val="0"/>
          <w:lang w:val="en-US"/>
        </w:rPr>
        <w:t>Expert for dementia on the field of psychology. Author of many bro</w:t>
      </w:r>
      <w:r>
        <w:rPr>
          <w:rFonts w:ascii="Calibri" w:hAnsi="Calibri"/>
          <w:u w:color="000000"/>
          <w:rtl w:val="0"/>
        </w:rPr>
        <w:t>c</w:t>
      </w:r>
      <w:r>
        <w:rPr>
          <w:rFonts w:ascii="Calibri" w:hAnsi="Calibri"/>
          <w:u w:color="000000"/>
          <w:rtl w:val="0"/>
          <w:lang w:val="sv-SE"/>
        </w:rPr>
        <w:t>hur</w:t>
      </w:r>
      <w:r>
        <w:rPr>
          <w:rFonts w:ascii="Calibri" w:hAnsi="Calibri"/>
          <w:u w:color="000000"/>
          <w:rtl w:val="0"/>
        </w:rPr>
        <w:t>e</w:t>
      </w:r>
      <w:r>
        <w:rPr>
          <w:rFonts w:ascii="Calibri" w:hAnsi="Calibri"/>
          <w:u w:color="000000"/>
          <w:rtl w:val="0"/>
          <w:lang w:val="en-US"/>
        </w:rPr>
        <w:t xml:space="preserve">s and the two books: Dementia </w:t>
      </w:r>
      <w:r>
        <w:rPr>
          <w:rFonts w:ascii="Calibri" w:hAnsi="Calibri" w:hint="default"/>
          <w:u w:color="000000"/>
          <w:rtl w:val="0"/>
        </w:rPr>
        <w:t xml:space="preserve">– </w:t>
      </w:r>
      <w:r>
        <w:rPr>
          <w:rFonts w:ascii="Calibri" w:hAnsi="Calibri"/>
          <w:u w:color="000000"/>
          <w:rtl w:val="0"/>
          <w:lang w:val="en-US"/>
        </w:rPr>
        <w:t xml:space="preserve">what and how is further?(2015.) guide for people affected by dementia, carers and nurses; Dementia from the angle of Primary Health Care(2019.) </w:t>
      </w:r>
      <w:r>
        <w:rPr>
          <w:rFonts w:ascii="Calibri" w:hAnsi="Calibri" w:hint="default"/>
          <w:u w:color="000000"/>
          <w:rtl w:val="0"/>
        </w:rPr>
        <w:t xml:space="preserve">– </w:t>
      </w:r>
      <w:r>
        <w:rPr>
          <w:rFonts w:ascii="Calibri" w:hAnsi="Calibri"/>
          <w:u w:color="000000"/>
          <w:rtl w:val="0"/>
          <w:lang w:val="en-US"/>
        </w:rPr>
        <w:t>guide for GP's, specialist for family medicine. Author of guid</w:t>
      </w:r>
      <w:r>
        <w:rPr>
          <w:rFonts w:ascii="Calibri" w:hAnsi="Calibri"/>
          <w:u w:color="000000"/>
          <w:rtl w:val="0"/>
        </w:rPr>
        <w:t>e</w:t>
      </w:r>
      <w:r>
        <w:rPr>
          <w:rFonts w:ascii="Calibri" w:hAnsi="Calibri"/>
          <w:u w:color="000000"/>
          <w:rtl w:val="0"/>
          <w:lang w:val="fr-FR"/>
        </w:rPr>
        <w:t xml:space="preserve">lines </w:t>
      </w:r>
      <w:r>
        <w:rPr>
          <w:rFonts w:ascii="Calibri" w:hAnsi="Calibri" w:hint="default"/>
          <w:u w:color="000000"/>
          <w:rtl w:val="0"/>
        </w:rPr>
        <w:t>„</w:t>
      </w:r>
      <w:r>
        <w:rPr>
          <w:rFonts w:ascii="Calibri" w:hAnsi="Calibri"/>
          <w:u w:color="000000"/>
          <w:rtl w:val="0"/>
          <w:lang w:val="en-US"/>
        </w:rPr>
        <w:t>Dementia in the time of Covid-19 pandemic</w:t>
      </w:r>
      <w:r>
        <w:rPr>
          <w:rFonts w:ascii="Calibri" w:hAnsi="Calibri" w:hint="default"/>
          <w:u w:color="000000"/>
          <w:rtl w:val="1"/>
          <w:lang w:val="ar-SA" w:bidi="ar-SA"/>
        </w:rPr>
        <w:t>“</w:t>
      </w:r>
      <w:r>
        <w:rPr>
          <w:rFonts w:ascii="Calibri" w:hAnsi="Calibri"/>
          <w:u w:color="000000"/>
          <w:rtl w:val="0"/>
          <w:lang w:val="en-US"/>
        </w:rPr>
        <w:t xml:space="preserve">(2020.) accepted of the Federal Ministry of health and Federal Crisis HQ, published on web page of ADI and Alzheimer Europe. He is coauthor of transnational guidelines to dementia </w:t>
      </w:r>
      <w:r>
        <w:rPr>
          <w:rFonts w:ascii="Calibri" w:hAnsi="Calibri" w:hint="default"/>
          <w:u w:color="000000"/>
          <w:rtl w:val="0"/>
        </w:rPr>
        <w:t>„</w:t>
      </w:r>
      <w:r>
        <w:rPr>
          <w:rFonts w:ascii="Calibri" w:hAnsi="Calibri"/>
          <w:u w:color="000000"/>
          <w:rtl w:val="0"/>
          <w:lang w:val="de-DE"/>
        </w:rPr>
        <w:t>Interpro</w:t>
      </w:r>
      <w:r>
        <w:rPr>
          <w:rFonts w:ascii="Calibri" w:hAnsi="Calibri"/>
          <w:u w:color="000000"/>
          <w:rtl w:val="0"/>
        </w:rPr>
        <w:t>f</w:t>
      </w:r>
      <w:r>
        <w:rPr>
          <w:rFonts w:ascii="Calibri" w:hAnsi="Calibri"/>
          <w:u w:color="000000"/>
          <w:rtl w:val="0"/>
        </w:rPr>
        <w:t>es</w:t>
      </w:r>
      <w:r>
        <w:rPr>
          <w:rFonts w:ascii="Calibri" w:hAnsi="Calibri"/>
          <w:u w:color="000000"/>
          <w:rtl w:val="0"/>
        </w:rPr>
        <w:t>s</w:t>
      </w:r>
      <w:r>
        <w:rPr>
          <w:rFonts w:ascii="Calibri" w:hAnsi="Calibri"/>
          <w:u w:color="000000"/>
          <w:rtl w:val="0"/>
          <w:lang w:val="en-US"/>
        </w:rPr>
        <w:t>ional Management of Dementia</w:t>
      </w:r>
      <w:r>
        <w:rPr>
          <w:rFonts w:ascii="Calibri" w:hAnsi="Calibri" w:hint="default"/>
          <w:u w:color="000000"/>
          <w:rtl w:val="0"/>
          <w:lang w:val="de-DE"/>
        </w:rPr>
        <w:t xml:space="preserve">“ </w:t>
      </w:r>
      <w:r>
        <w:rPr>
          <w:rFonts w:ascii="Calibri" w:hAnsi="Calibri"/>
          <w:u w:color="000000"/>
          <w:rtl w:val="0"/>
          <w:lang w:val="en-US"/>
        </w:rPr>
        <w:t>used for Online Education Platform funded by EU INTERREG. President of Organizing Com</w:t>
      </w:r>
      <w:r>
        <w:rPr>
          <w:rFonts w:ascii="Calibri" w:hAnsi="Calibri"/>
          <w:u w:color="000000"/>
          <w:rtl w:val="0"/>
        </w:rPr>
        <w:t>m</w:t>
      </w:r>
      <w:r>
        <w:rPr>
          <w:rFonts w:ascii="Calibri" w:hAnsi="Calibri"/>
          <w:u w:color="000000"/>
          <w:rtl w:val="0"/>
          <w:lang w:val="en-US"/>
        </w:rPr>
        <w:t xml:space="preserve">ittee of iCoDem </w:t>
      </w:r>
      <w:r>
        <w:rPr>
          <w:rFonts w:ascii="Calibri" w:hAnsi="Calibri" w:hint="default"/>
          <w:u w:color="000000"/>
          <w:rtl w:val="0"/>
        </w:rPr>
        <w:t xml:space="preserve">– </w:t>
      </w:r>
      <w:r>
        <w:rPr>
          <w:rFonts w:ascii="Calibri" w:hAnsi="Calibri"/>
          <w:u w:color="000000"/>
          <w:rtl w:val="0"/>
          <w:lang w:val="en-US"/>
        </w:rPr>
        <w:t>International Congress of Dementia, the most important Congress of dementia in the region of SE Europe</w:t>
      </w:r>
      <w:r>
        <w:rPr>
          <w:rFonts w:ascii="Calibri" w:hAnsi="Calibri"/>
          <w:u w:color="000000"/>
          <w:rtl w:val="0"/>
        </w:rPr>
        <w:t xml:space="preserve">. </w:t>
      </w:r>
      <w:r>
        <w:rPr>
          <w:rFonts w:ascii="Calibri" w:hAnsi="Calibri"/>
          <w:u w:color="000000"/>
          <w:rtl w:val="0"/>
          <w:lang w:val="en-US"/>
        </w:rPr>
        <w:t xml:space="preserve">Author of Sarajevo Statement on Dementia in the Western Balkan Region and Expert Statement Dementia </w:t>
      </w:r>
      <w:r>
        <w:rPr>
          <w:rFonts w:ascii="Calibri" w:hAnsi="Calibri"/>
          <w:u w:color="000000"/>
          <w:rtl w:val="0"/>
        </w:rPr>
        <w:t>C</w:t>
      </w:r>
      <w:r>
        <w:rPr>
          <w:rFonts w:ascii="Calibri" w:hAnsi="Calibri"/>
          <w:u w:color="000000"/>
          <w:rtl w:val="0"/>
          <w:lang w:val="en-US"/>
        </w:rPr>
        <w:t>are and Policies of extended Danube Region, the both supported by WHO office for Europe, ADI and Alzheimer Europe and many academic and research institution. Lecturer in Dementia Master Classes by DAAD(German office for academic exchange), coach for medical experts, nurses, formal and unformal carers, psychologists, social workers, therap</w:t>
      </w:r>
      <w:r>
        <w:rPr>
          <w:rFonts w:ascii="Calibri" w:hAnsi="Calibri"/>
          <w:u w:color="000000"/>
          <w:rtl w:val="0"/>
        </w:rPr>
        <w:t>ists</w:t>
      </w:r>
      <w:r>
        <w:rPr>
          <w:rFonts w:ascii="Calibri" w:hAnsi="Calibri"/>
          <w:u w:color="000000"/>
          <w:rtl w:val="0"/>
          <w:lang w:val="en-US"/>
        </w:rPr>
        <w:t xml:space="preserve"> including in dementia issue. He is president of Working group  for developing of National Dementia Strategy in FBiH. He is a participant and initiator of many research projects and single out is scientific research about number of affected people in BiH </w:t>
      </w:r>
      <w:r>
        <w:rPr>
          <w:rFonts w:ascii="Calibri" w:hAnsi="Calibri" w:hint="default"/>
          <w:u w:color="000000"/>
          <w:rtl w:val="0"/>
        </w:rPr>
        <w:t>„</w:t>
      </w:r>
      <w:r>
        <w:rPr>
          <w:rFonts w:ascii="Calibri" w:hAnsi="Calibri"/>
          <w:u w:color="000000"/>
          <w:rtl w:val="0"/>
          <w:lang w:val="en-US"/>
        </w:rPr>
        <w:t>Dementia as epidemic of BH society</w:t>
      </w:r>
      <w:r>
        <w:rPr>
          <w:rFonts w:ascii="Calibri" w:hAnsi="Calibri" w:hint="default"/>
          <w:u w:color="000000"/>
          <w:rtl w:val="1"/>
          <w:lang w:val="ar-SA" w:bidi="ar-SA"/>
        </w:rPr>
        <w:t>“</w:t>
      </w:r>
      <w:r>
        <w:rPr>
          <w:rFonts w:ascii="Calibri" w:hAnsi="Calibri"/>
          <w:u w:color="000000"/>
          <w:rtl w:val="0"/>
          <w:lang w:val="en-US"/>
        </w:rPr>
        <w:t xml:space="preserve">(2015.). Currently, He is director of Center for dementia that is unique institution in Western Balkan.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hrvatski" w:val="‘“(〔[{〈《「『【⦅〘〖«〝︵︷︹︻︽︿﹁﹃﹇﹙﹛﹝｢"/>
  <w:noLineBreaksBefore w:lang="hrvatski"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jelo">
    <w:name w:val="Tijelo"/>
    <w:next w:val="Tijel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