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90C" w:rsidRPr="00337A3E" w:rsidRDefault="003B6888" w:rsidP="003B6888">
      <w:pPr>
        <w:bidi w:val="0"/>
        <w:rPr>
          <w:rFonts w:asciiTheme="majorBidi" w:hAnsiTheme="majorBidi" w:cstheme="majorBidi"/>
          <w:b/>
          <w:bCs/>
          <w:sz w:val="28"/>
          <w:szCs w:val="28"/>
        </w:rPr>
      </w:pPr>
      <w:r w:rsidRPr="00337A3E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3B6888" w:rsidRPr="00337A3E" w:rsidRDefault="003B6888">
      <w:pPr>
        <w:rPr>
          <w:rFonts w:asciiTheme="majorBidi" w:hAnsiTheme="majorBidi" w:cstheme="majorBidi"/>
          <w:sz w:val="28"/>
          <w:szCs w:val="28"/>
          <w:rtl/>
        </w:rPr>
      </w:pPr>
    </w:p>
    <w:p w:rsidR="003B6888" w:rsidRPr="00337A3E" w:rsidRDefault="003B6888" w:rsidP="00337A3E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 w:rsidRPr="00337A3E">
        <w:rPr>
          <w:rFonts w:asciiTheme="majorBidi" w:hAnsiTheme="majorBidi" w:cstheme="majorBidi"/>
          <w:sz w:val="28"/>
          <w:szCs w:val="28"/>
        </w:rPr>
        <w:t>Cholinesterase inhibitors are used for the symptomatic treatment of patients with Alzheimer’s disease (AD).This population of</w:t>
      </w:r>
      <w:r w:rsidR="00337A3E">
        <w:rPr>
          <w:rFonts w:asciiTheme="majorBidi" w:hAnsiTheme="majorBidi" w:cstheme="majorBidi"/>
          <w:sz w:val="28"/>
          <w:szCs w:val="28"/>
        </w:rPr>
        <w:t xml:space="preserve">ten has numerous comorbidities </w:t>
      </w:r>
      <w:r w:rsidRPr="00337A3E">
        <w:rPr>
          <w:rFonts w:asciiTheme="majorBidi" w:hAnsiTheme="majorBidi" w:cstheme="majorBidi"/>
          <w:sz w:val="28"/>
          <w:szCs w:val="28"/>
        </w:rPr>
        <w:t>and is treated with multiple medications, which leads to</w:t>
      </w:r>
      <w:r w:rsidRPr="00337A3E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 w:rsidRPr="00337A3E">
        <w:rPr>
          <w:rFonts w:asciiTheme="majorBidi" w:hAnsiTheme="majorBidi" w:cstheme="majorBidi"/>
          <w:sz w:val="28"/>
          <w:szCs w:val="28"/>
        </w:rPr>
        <w:t>polypharmacy</w:t>
      </w:r>
      <w:proofErr w:type="spellEnd"/>
      <w:r w:rsidRPr="00337A3E">
        <w:rPr>
          <w:rFonts w:asciiTheme="majorBidi" w:hAnsiTheme="majorBidi" w:cstheme="majorBidi"/>
          <w:sz w:val="28"/>
          <w:szCs w:val="28"/>
        </w:rPr>
        <w:t xml:space="preserve">. Possible pharmacokinetic and </w:t>
      </w:r>
      <w:proofErr w:type="spellStart"/>
      <w:r w:rsidRPr="00337A3E">
        <w:rPr>
          <w:rFonts w:asciiTheme="majorBidi" w:hAnsiTheme="majorBidi" w:cstheme="majorBidi"/>
          <w:sz w:val="28"/>
          <w:szCs w:val="28"/>
        </w:rPr>
        <w:t>pharmacodynamic</w:t>
      </w:r>
      <w:proofErr w:type="spellEnd"/>
      <w:r w:rsidRPr="00337A3E">
        <w:rPr>
          <w:rFonts w:asciiTheme="majorBidi" w:hAnsiTheme="majorBidi" w:cstheme="majorBidi"/>
          <w:sz w:val="28"/>
          <w:szCs w:val="28"/>
        </w:rPr>
        <w:t xml:space="preserve"> drug interactions may occur with this type of</w:t>
      </w:r>
      <w:r w:rsidRPr="00337A3E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337A3E">
        <w:rPr>
          <w:rFonts w:asciiTheme="majorBidi" w:hAnsiTheme="majorBidi" w:cstheme="majorBidi"/>
          <w:sz w:val="28"/>
          <w:szCs w:val="28"/>
        </w:rPr>
        <w:t xml:space="preserve">concomitant treatment, such as interactions with antipsychotics, antidepressants, </w:t>
      </w:r>
      <w:proofErr w:type="spellStart"/>
      <w:r w:rsidRPr="00337A3E">
        <w:rPr>
          <w:rFonts w:asciiTheme="majorBidi" w:hAnsiTheme="majorBidi" w:cstheme="majorBidi"/>
          <w:sz w:val="28"/>
          <w:szCs w:val="28"/>
        </w:rPr>
        <w:t>anticholinergics</w:t>
      </w:r>
      <w:proofErr w:type="spellEnd"/>
      <w:r w:rsidRPr="00337A3E">
        <w:rPr>
          <w:rFonts w:asciiTheme="majorBidi" w:hAnsiTheme="majorBidi" w:cstheme="majorBidi"/>
          <w:sz w:val="28"/>
          <w:szCs w:val="28"/>
        </w:rPr>
        <w:t>, and</w:t>
      </w:r>
      <w:r w:rsidRPr="00337A3E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337A3E">
        <w:rPr>
          <w:rFonts w:asciiTheme="majorBidi" w:hAnsiTheme="majorBidi" w:cstheme="majorBidi"/>
          <w:sz w:val="28"/>
          <w:szCs w:val="28"/>
        </w:rPr>
        <w:t>cardiovascular and urinary disorder medications. Drug interactions should always be considered to reduce the</w:t>
      </w:r>
      <w:r w:rsidRPr="00337A3E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337A3E">
        <w:rPr>
          <w:rFonts w:asciiTheme="majorBidi" w:hAnsiTheme="majorBidi" w:cstheme="majorBidi"/>
          <w:sz w:val="28"/>
          <w:szCs w:val="28"/>
        </w:rPr>
        <w:t>risk of side effects and other problems for patients and also to increase the effectiveness of therapeutic drugs for</w:t>
      </w:r>
      <w:r w:rsidRPr="00337A3E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337A3E">
        <w:rPr>
          <w:rFonts w:asciiTheme="majorBidi" w:hAnsiTheme="majorBidi" w:cstheme="majorBidi"/>
          <w:sz w:val="28"/>
          <w:szCs w:val="28"/>
        </w:rPr>
        <w:t>AD.</w:t>
      </w:r>
    </w:p>
    <w:p w:rsidR="00337A3E" w:rsidRPr="00337A3E" w:rsidRDefault="00337A3E" w:rsidP="00337A3E">
      <w:pPr>
        <w:bidi w:val="0"/>
        <w:rPr>
          <w:rFonts w:asciiTheme="majorBidi" w:hAnsiTheme="majorBidi" w:cstheme="majorBidi"/>
          <w:sz w:val="28"/>
          <w:szCs w:val="28"/>
        </w:rPr>
      </w:pPr>
      <w:bookmarkStart w:id="0" w:name="_GoBack"/>
    </w:p>
    <w:bookmarkEnd w:id="0"/>
    <w:p w:rsidR="00337A3E" w:rsidRDefault="00337A3E" w:rsidP="00337A3E">
      <w:pPr>
        <w:bidi w:val="0"/>
        <w:rPr>
          <w:rFonts w:asciiTheme="majorBidi" w:hAnsiTheme="majorBidi" w:cstheme="majorBidi"/>
          <w:sz w:val="28"/>
          <w:szCs w:val="28"/>
        </w:rPr>
      </w:pPr>
      <w:r w:rsidRPr="00337A3E">
        <w:rPr>
          <w:rFonts w:asciiTheme="majorBidi" w:hAnsiTheme="majorBidi" w:cstheme="majorBidi"/>
          <w:sz w:val="28"/>
          <w:szCs w:val="28"/>
        </w:rPr>
        <w:t xml:space="preserve">Key words: </w:t>
      </w:r>
    </w:p>
    <w:p w:rsidR="00337A3E" w:rsidRPr="00337A3E" w:rsidRDefault="00337A3E" w:rsidP="00337A3E">
      <w:pPr>
        <w:bidi w:val="0"/>
        <w:rPr>
          <w:rFonts w:asciiTheme="majorBidi" w:hAnsiTheme="majorBidi" w:cstheme="majorBidi"/>
          <w:sz w:val="28"/>
          <w:szCs w:val="28"/>
        </w:rPr>
      </w:pPr>
      <w:r w:rsidRPr="00337A3E">
        <w:rPr>
          <w:rFonts w:asciiTheme="majorBidi" w:hAnsiTheme="majorBidi" w:cstheme="majorBidi"/>
          <w:sz w:val="28"/>
          <w:szCs w:val="28"/>
        </w:rPr>
        <w:t xml:space="preserve">Cholinesterase inhibitors, drug interaction, Alzheimer’s disease, </w:t>
      </w:r>
      <w:proofErr w:type="spellStart"/>
      <w:r w:rsidRPr="00337A3E">
        <w:rPr>
          <w:rFonts w:asciiTheme="majorBidi" w:hAnsiTheme="majorBidi" w:cstheme="majorBidi"/>
          <w:sz w:val="28"/>
          <w:szCs w:val="28"/>
        </w:rPr>
        <w:t>polypharmacy</w:t>
      </w:r>
      <w:proofErr w:type="spellEnd"/>
      <w:r w:rsidRPr="00337A3E">
        <w:rPr>
          <w:rFonts w:asciiTheme="majorBidi" w:hAnsiTheme="majorBidi" w:cstheme="majorBidi"/>
          <w:sz w:val="28"/>
          <w:szCs w:val="28"/>
        </w:rPr>
        <w:t>.</w:t>
      </w:r>
    </w:p>
    <w:sectPr w:rsidR="00337A3E" w:rsidRPr="00337A3E" w:rsidSect="00F378C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888"/>
    <w:rsid w:val="000A690C"/>
    <w:rsid w:val="00337A3E"/>
    <w:rsid w:val="003B6888"/>
    <w:rsid w:val="00F3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0ECD7B-3F0D-440E-9A20-4E45E6491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dr.ataei</dc:creator>
  <cp:keywords/>
  <dc:description/>
  <cp:lastModifiedBy>dr.ataei</cp:lastModifiedBy>
  <cp:revision>2</cp:revision>
  <dcterms:created xsi:type="dcterms:W3CDTF">2017-08-05T04:36:00Z</dcterms:created>
  <dcterms:modified xsi:type="dcterms:W3CDTF">2017-08-05T04:41:00Z</dcterms:modified>
</cp:coreProperties>
</file>