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930" w:rsidRDefault="00803930" w:rsidP="00803930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Study of the CHA2DS2-VASc score in acute coronary syndrome</w:t>
      </w:r>
    </w:p>
    <w:p w:rsidR="00803930" w:rsidRDefault="00803930" w:rsidP="00803930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Abstract</w:t>
      </w:r>
    </w:p>
    <w:p w:rsidR="00803930" w:rsidRDefault="00803930" w:rsidP="0080393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Background: </w:t>
      </w:r>
      <w:r>
        <w:rPr>
          <w:rFonts w:ascii="TimesNewRomanPSMT" w:hAnsi="TimesNewRomanPSMT" w:cs="TimesNewRomanPSMT"/>
          <w:sz w:val="24"/>
          <w:szCs w:val="24"/>
        </w:rPr>
        <w:t>To predict outcomes, acute coronary syndr</w:t>
      </w:r>
      <w:r>
        <w:rPr>
          <w:rFonts w:ascii="TimesNewRomanPSMT" w:hAnsi="TimesNewRomanPSMT" w:cs="TimesNewRomanPSMT"/>
          <w:sz w:val="24"/>
          <w:szCs w:val="24"/>
        </w:rPr>
        <w:t xml:space="preserve">ome (ACS) can be assessed using </w:t>
      </w:r>
      <w:r>
        <w:rPr>
          <w:rFonts w:ascii="TimesNewRomanPSMT" w:hAnsi="TimesNewRomanPSMT" w:cs="TimesNewRomanPSMT"/>
          <w:sz w:val="24"/>
          <w:szCs w:val="24"/>
        </w:rPr>
        <w:t>GRACE and TIMI risk scores, whereas SYNTAX score is</w:t>
      </w:r>
      <w:r>
        <w:rPr>
          <w:rFonts w:ascii="TimesNewRomanPSMT" w:hAnsi="TimesNewRomanPSMT" w:cs="TimesNewRomanPSMT"/>
          <w:sz w:val="24"/>
          <w:szCs w:val="24"/>
        </w:rPr>
        <w:t xml:space="preserve"> used to assess coronary artery </w:t>
      </w:r>
      <w:r>
        <w:rPr>
          <w:rFonts w:ascii="TimesNewRomanPSMT" w:hAnsi="TimesNewRomanPSMT" w:cs="TimesNewRomanPSMT"/>
          <w:sz w:val="24"/>
          <w:szCs w:val="24"/>
        </w:rPr>
        <w:t xml:space="preserve">disease (CAD) severity and clarify the management. </w:t>
      </w:r>
      <w:r>
        <w:rPr>
          <w:rFonts w:ascii="TimesNewRomanPSMT" w:hAnsi="TimesNewRomanPSMT" w:cs="TimesNewRomanPSMT"/>
          <w:sz w:val="24"/>
          <w:szCs w:val="24"/>
        </w:rPr>
        <w:t xml:space="preserve">CHA2DS2-VASc score is used as a </w:t>
      </w:r>
      <w:r>
        <w:rPr>
          <w:rFonts w:ascii="TimesNewRomanPSMT" w:hAnsi="TimesNewRomanPSMT" w:cs="TimesNewRomanPSMT"/>
          <w:sz w:val="24"/>
          <w:szCs w:val="24"/>
        </w:rPr>
        <w:t>predictive tool for stroke prevention in non-valvular atrial fibr</w:t>
      </w:r>
      <w:r>
        <w:rPr>
          <w:rFonts w:ascii="TimesNewRomanPSMT" w:hAnsi="TimesNewRomanPSMT" w:cs="TimesNewRomanPSMT"/>
          <w:sz w:val="24"/>
          <w:szCs w:val="24"/>
        </w:rPr>
        <w:t xml:space="preserve">illation, and it was studied in </w:t>
      </w:r>
      <w:r>
        <w:rPr>
          <w:rFonts w:ascii="TimesNewRomanPSMT" w:hAnsi="TimesNewRomanPSMT" w:cs="TimesNewRomanPSMT"/>
          <w:sz w:val="24"/>
          <w:szCs w:val="24"/>
        </w:rPr>
        <w:t>ACS in terms of outcome and CAD severity</w:t>
      </w:r>
      <w:r>
        <w:rPr>
          <w:rFonts w:ascii="TimesNewRomanPSMT" w:hAnsi="TimesNewRomanPSMT" w:cs="TimesNewRomanPSMT"/>
          <w:sz w:val="24"/>
          <w:szCs w:val="24"/>
        </w:rPr>
        <w:t>.</w:t>
      </w:r>
    </w:p>
    <w:p w:rsidR="00803930" w:rsidRDefault="00803930" w:rsidP="0080393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Methods: </w:t>
      </w:r>
      <w:r>
        <w:rPr>
          <w:rFonts w:ascii="TimesNewRomanPSMT" w:hAnsi="TimesNewRomanPSMT" w:cs="TimesNewRomanPSMT"/>
          <w:sz w:val="24"/>
          <w:szCs w:val="24"/>
        </w:rPr>
        <w:t>Between December 2016 and June 2017, 12</w:t>
      </w:r>
      <w:r>
        <w:rPr>
          <w:rFonts w:ascii="TimesNewRomanPSMT" w:hAnsi="TimesNewRomanPSMT" w:cs="TimesNewRomanPSMT"/>
          <w:sz w:val="24"/>
          <w:szCs w:val="24"/>
        </w:rPr>
        <w:t xml:space="preserve">5 ACS patients (mean age: 57.78 </w:t>
      </w:r>
      <w:r>
        <w:rPr>
          <w:rFonts w:ascii="TimesNewRomanPSMT" w:hAnsi="TimesNewRomanPSMT" w:cs="TimesNewRomanPSMT"/>
          <w:sz w:val="24"/>
          <w:szCs w:val="24"/>
        </w:rPr>
        <w:t>(±9.5) years, 78.4% males) were enrolled in this observationa</w:t>
      </w:r>
      <w:r>
        <w:rPr>
          <w:rFonts w:ascii="TimesNewRomanPSMT" w:hAnsi="TimesNewRomanPSMT" w:cs="TimesNewRomanPSMT"/>
          <w:sz w:val="24"/>
          <w:szCs w:val="24"/>
        </w:rPr>
        <w:t xml:space="preserve">l prospective study at Mansoura </w:t>
      </w:r>
      <w:r>
        <w:rPr>
          <w:rFonts w:ascii="TimesNewRomanPSMT" w:hAnsi="TimesNewRomanPSMT" w:cs="TimesNewRomanPSMT"/>
          <w:sz w:val="24"/>
          <w:szCs w:val="24"/>
        </w:rPr>
        <w:t>specialized hospital. 89 patients had been followed-up for six</w:t>
      </w:r>
      <w:r>
        <w:rPr>
          <w:rFonts w:ascii="TimesNewRomanPSMT" w:hAnsi="TimesNewRomanPSMT" w:cs="TimesNewRomanPSMT"/>
          <w:sz w:val="24"/>
          <w:szCs w:val="24"/>
        </w:rPr>
        <w:t xml:space="preserve"> months. Patients were assessed </w:t>
      </w:r>
      <w:r>
        <w:rPr>
          <w:rFonts w:ascii="TimesNewRomanPSMT" w:hAnsi="TimesNewRomanPSMT" w:cs="TimesNewRomanPSMT"/>
          <w:sz w:val="24"/>
          <w:szCs w:val="24"/>
        </w:rPr>
        <w:t>based on history, clinical examination, 12-lead ECG, and coronary angiography.</w:t>
      </w:r>
    </w:p>
    <w:p w:rsidR="00803930" w:rsidRDefault="00803930" w:rsidP="0080393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Results: </w:t>
      </w:r>
      <w:r>
        <w:rPr>
          <w:rFonts w:ascii="TimesNewRomanPSMT" w:hAnsi="TimesNewRomanPSMT" w:cs="TimesNewRomanPSMT"/>
          <w:sz w:val="24"/>
          <w:szCs w:val="24"/>
        </w:rPr>
        <w:t>CHA2DS2-VASc score was significantly cor</w:t>
      </w:r>
      <w:r>
        <w:rPr>
          <w:rFonts w:ascii="TimesNewRomanPSMT" w:hAnsi="TimesNewRomanPSMT" w:cs="TimesNewRomanPSMT"/>
          <w:sz w:val="24"/>
          <w:szCs w:val="24"/>
        </w:rPr>
        <w:t xml:space="preserve">related with SYNTAX and Gensini </w:t>
      </w:r>
      <w:r>
        <w:rPr>
          <w:rFonts w:ascii="TimesNewRomanPSMT" w:hAnsi="TimesNewRomanPSMT" w:cs="TimesNewRomanPSMT"/>
          <w:sz w:val="24"/>
          <w:szCs w:val="24"/>
        </w:rPr>
        <w:t>scores (p&lt;0.001 and p&lt;0.001, respectively). Receiver operat</w:t>
      </w:r>
      <w:r>
        <w:rPr>
          <w:rFonts w:ascii="TimesNewRomanPSMT" w:hAnsi="TimesNewRomanPSMT" w:cs="TimesNewRomanPSMT"/>
          <w:sz w:val="24"/>
          <w:szCs w:val="24"/>
        </w:rPr>
        <w:t xml:space="preserve">ing characteristic (ROC) curves </w:t>
      </w:r>
      <w:r>
        <w:rPr>
          <w:rFonts w:ascii="TimesNewRomanPSMT" w:hAnsi="TimesNewRomanPSMT" w:cs="TimesNewRomanPSMT"/>
          <w:sz w:val="24"/>
          <w:szCs w:val="24"/>
        </w:rPr>
        <w:t>were generated and cutoff values determined for the CH</w:t>
      </w:r>
      <w:r>
        <w:rPr>
          <w:rFonts w:ascii="TimesNewRomanPSMT" w:hAnsi="TimesNewRomanPSMT" w:cs="TimesNewRomanPSMT"/>
          <w:sz w:val="24"/>
          <w:szCs w:val="24"/>
        </w:rPr>
        <w:t xml:space="preserve">A2DS2-VASc score (cutoff&gt;2; 76% </w:t>
      </w:r>
      <w:r>
        <w:rPr>
          <w:rFonts w:ascii="TimesNewRomanPSMT" w:hAnsi="TimesNewRomanPSMT" w:cs="TimesNewRomanPSMT"/>
          <w:sz w:val="24"/>
          <w:szCs w:val="24"/>
        </w:rPr>
        <w:t>sensitivity; 76.8% specificity; p&lt;0.001) in predicting coronary multivessel disea</w:t>
      </w:r>
      <w:r>
        <w:rPr>
          <w:rFonts w:ascii="TimesNewRomanPSMT" w:hAnsi="TimesNewRomanPSMT" w:cs="TimesNewRomanPSMT"/>
          <w:sz w:val="24"/>
          <w:szCs w:val="24"/>
        </w:rPr>
        <w:t xml:space="preserve">se. Patients </w:t>
      </w:r>
      <w:r>
        <w:rPr>
          <w:rFonts w:ascii="TimesNewRomanPSMT" w:hAnsi="TimesNewRomanPSMT" w:cs="TimesNewRomanPSMT"/>
          <w:sz w:val="24"/>
          <w:szCs w:val="24"/>
        </w:rPr>
        <w:t>with a CHA2DS2-VASc score ≥ 2 had higher in-hospital complications (all p&lt;0.05).</w:t>
      </w:r>
    </w:p>
    <w:p w:rsidR="00803930" w:rsidRDefault="00803930" w:rsidP="0080393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CHA2DS2-VASc score was significantly correlated with in-hospita</w:t>
      </w:r>
      <w:r>
        <w:rPr>
          <w:rFonts w:ascii="TimesNewRomanPSMT" w:hAnsi="TimesNewRomanPSMT" w:cs="TimesNewRomanPSMT"/>
          <w:sz w:val="24"/>
          <w:szCs w:val="24"/>
        </w:rPr>
        <w:t>l (11.9%, p=0.21) and six month-</w:t>
      </w:r>
      <w:r>
        <w:rPr>
          <w:rFonts w:ascii="TimesNewRomanPSMT" w:hAnsi="TimesNewRomanPSMT" w:cs="TimesNewRomanPSMT"/>
          <w:sz w:val="24"/>
          <w:szCs w:val="24"/>
        </w:rPr>
        <w:t>mortality (25%, p=0.042). ROC curves were generated and cutoff valu</w:t>
      </w:r>
      <w:r>
        <w:rPr>
          <w:rFonts w:ascii="TimesNewRomanPSMT" w:hAnsi="TimesNewRomanPSMT" w:cs="TimesNewRomanPSMT"/>
          <w:sz w:val="24"/>
          <w:szCs w:val="24"/>
        </w:rPr>
        <w:t xml:space="preserve">es determined for </w:t>
      </w:r>
      <w:r>
        <w:rPr>
          <w:rFonts w:ascii="TimesNewRomanPSMT" w:hAnsi="TimesNewRomanPSMT" w:cs="TimesNewRomanPSMT"/>
          <w:sz w:val="24"/>
          <w:szCs w:val="24"/>
        </w:rPr>
        <w:t>the CHA2DS2-VASc score (cutoff&gt;2; 88% sensitivity;</w:t>
      </w:r>
      <w:r>
        <w:rPr>
          <w:rFonts w:ascii="TimesNewRomanPSMT" w:hAnsi="TimesNewRomanPSMT" w:cs="TimesNewRomanPSMT"/>
          <w:sz w:val="24"/>
          <w:szCs w:val="24"/>
        </w:rPr>
        <w:t xml:space="preserve"> 65.3% specificity; p&lt;0.001) in </w:t>
      </w:r>
      <w:r>
        <w:rPr>
          <w:rFonts w:ascii="TimesNewRomanPSMT" w:hAnsi="TimesNewRomanPSMT" w:cs="TimesNewRomanPSMT"/>
          <w:sz w:val="24"/>
          <w:szCs w:val="24"/>
        </w:rPr>
        <w:t xml:space="preserve">predicting six-month-mortality. Multivariate logistic </w:t>
      </w:r>
      <w:r>
        <w:rPr>
          <w:rFonts w:ascii="TimesNewRomanPSMT" w:hAnsi="TimesNewRomanPSMT" w:cs="TimesNewRomanPSMT"/>
          <w:sz w:val="24"/>
          <w:szCs w:val="24"/>
        </w:rPr>
        <w:t xml:space="preserve">regression analysis showed that </w:t>
      </w:r>
      <w:r>
        <w:rPr>
          <w:rFonts w:ascii="TimesNewRomanPSMT" w:hAnsi="TimesNewRomanPSMT" w:cs="TimesNewRomanPSMT"/>
          <w:sz w:val="24"/>
          <w:szCs w:val="24"/>
        </w:rPr>
        <w:t>CHA2DS2-VASc score (p&lt;0.001 with odds ratio 2.28; 95% CI 1.47–3.53) wa</w:t>
      </w:r>
      <w:r>
        <w:rPr>
          <w:rFonts w:ascii="TimesNewRomanPSMT" w:hAnsi="TimesNewRomanPSMT" w:cs="TimesNewRomanPSMT"/>
          <w:sz w:val="24"/>
          <w:szCs w:val="24"/>
        </w:rPr>
        <w:t xml:space="preserve">s like Grace </w:t>
      </w:r>
      <w:bookmarkStart w:id="0" w:name="_GoBack"/>
      <w:bookmarkEnd w:id="0"/>
      <w:proofErr w:type="gramStart"/>
      <w:r>
        <w:rPr>
          <w:rFonts w:ascii="TimesNewRomanPSMT" w:hAnsi="TimesNewRomanPSMT" w:cs="TimesNewRomanPSMT"/>
          <w:sz w:val="24"/>
          <w:szCs w:val="24"/>
        </w:rPr>
        <w:t>score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a predictor of six-month-mortality.</w:t>
      </w:r>
    </w:p>
    <w:p w:rsidR="00803930" w:rsidRDefault="00803930" w:rsidP="0080393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Conclusion: </w:t>
      </w:r>
      <w:r>
        <w:rPr>
          <w:rFonts w:ascii="TimesNewRomanPSMT" w:hAnsi="TimesNewRomanPSMT" w:cs="TimesNewRomanPSMT"/>
          <w:sz w:val="24"/>
          <w:szCs w:val="24"/>
        </w:rPr>
        <w:t>CHA2DS2-VASc score is associated with increa</w:t>
      </w:r>
      <w:r>
        <w:rPr>
          <w:rFonts w:ascii="TimesNewRomanPSMT" w:hAnsi="TimesNewRomanPSMT" w:cs="TimesNewRomanPSMT"/>
          <w:sz w:val="24"/>
          <w:szCs w:val="24"/>
        </w:rPr>
        <w:t xml:space="preserve">sed CAD severity and in-hospital </w:t>
      </w:r>
      <w:r>
        <w:rPr>
          <w:rFonts w:ascii="TimesNewRomanPSMT" w:hAnsi="TimesNewRomanPSMT" w:cs="TimesNewRomanPSMT"/>
          <w:sz w:val="24"/>
          <w:szCs w:val="24"/>
        </w:rPr>
        <w:t>and six-month outcomes.</w:t>
      </w:r>
    </w:p>
    <w:p w:rsidR="00803930" w:rsidRDefault="00803930" w:rsidP="0080393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:rsidR="00803930" w:rsidRPr="006849AA" w:rsidRDefault="00803930" w:rsidP="0080393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Keywords: </w:t>
      </w:r>
      <w:r>
        <w:rPr>
          <w:rFonts w:ascii="TimesNewRomanPSMT" w:hAnsi="TimesNewRomanPSMT" w:cs="TimesNewRomanPSMT"/>
          <w:sz w:val="24"/>
          <w:szCs w:val="24"/>
        </w:rPr>
        <w:t>CHA2DS2-VASc score, acute coronary syndrome, coronary artery disease, clinical outcome, Risk Assessment</w:t>
      </w:r>
    </w:p>
    <w:p w:rsidR="008421EE" w:rsidRDefault="008421EE"/>
    <w:sectPr w:rsidR="008421EE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930"/>
    <w:rsid w:val="00803930"/>
    <w:rsid w:val="0084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9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9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289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2019-11-22T18:31:00Z</dcterms:created>
  <dcterms:modified xsi:type="dcterms:W3CDTF">2019-11-22T18:34:00Z</dcterms:modified>
</cp:coreProperties>
</file>