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right"/>
        <w:rPr>
          <w:rFonts w:eastAsia="Calibri"/>
          <w:b/>
          <w:bCs/>
          <w:sz w:val="24"/>
          <w:szCs w:val="24"/>
          <w:lang w:val="en-US" w:eastAsia="en-US"/>
        </w:rPr>
      </w:pPr>
      <w:r>
        <w:rPr>
          <w:rFonts w:eastAsia="Calibri"/>
          <w:b/>
          <w:bCs/>
          <w:sz w:val="24"/>
          <w:szCs w:val="24"/>
          <w:lang w:val="en-US" w:eastAsia="en-US"/>
        </w:rPr>
        <w:drawing>
          <wp:inline distT="0" distB="0" distL="114300" distR="114300">
            <wp:extent cx="1350010" cy="1741170"/>
            <wp:effectExtent l="0" t="0" r="2540" b="11430"/>
            <wp:docPr id="1" name="Изображение 1" descr="IMG_20190121_13355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0190121_133552 (1)"/>
                    <pic:cNvPicPr>
                      <a:picLocks noChangeAspect="1"/>
                    </pic:cNvPicPr>
                  </pic:nvPicPr>
                  <pic:blipFill>
                    <a:blip r:embed="rId4"/>
                    <a:stretch>
                      <a:fillRect/>
                    </a:stretch>
                  </pic:blipFill>
                  <pic:spPr>
                    <a:xfrm>
                      <a:off x="0" y="0"/>
                      <a:ext cx="1350010" cy="1741170"/>
                    </a:xfrm>
                    <a:prstGeom prst="rect">
                      <a:avLst/>
                    </a:prstGeom>
                  </pic:spPr>
                </pic:pic>
              </a:graphicData>
            </a:graphic>
          </wp:inline>
        </w:drawing>
      </w:r>
    </w:p>
    <w:p>
      <w:pPr>
        <w:spacing w:after="160" w:line="360" w:lineRule="auto"/>
        <w:jc w:val="both"/>
        <w:rPr>
          <w:rFonts w:eastAsia="Calibri"/>
          <w:b/>
          <w:bCs/>
          <w:sz w:val="24"/>
          <w:szCs w:val="24"/>
          <w:lang w:val="en-US" w:eastAsia="en-US"/>
        </w:rPr>
      </w:pPr>
      <w:bookmarkStart w:id="0" w:name="_GoBack"/>
      <w:bookmarkEnd w:id="0"/>
      <w:r>
        <w:rPr>
          <w:rFonts w:eastAsia="Calibri"/>
          <w:b/>
          <w:bCs/>
          <w:sz w:val="24"/>
          <w:szCs w:val="24"/>
          <w:lang w:val="en-US" w:eastAsia="en-US"/>
        </w:rPr>
        <w:t>The role of myocardial revascularization in the survival of patients with altered coronary blood flow detected by transthoracic ultrasound</w:t>
      </w:r>
      <w:r>
        <w:rPr>
          <w:rFonts w:eastAsia="Calibri"/>
          <w:b/>
          <w:bCs/>
          <w:sz w:val="24"/>
          <w:szCs w:val="24"/>
          <w:lang w:val="ru-RU" w:eastAsia="en-US"/>
        </w:rPr>
        <w:t>.</w:t>
      </w:r>
    </w:p>
    <w:p>
      <w:pPr>
        <w:spacing w:after="160" w:line="360" w:lineRule="auto"/>
        <w:jc w:val="both"/>
        <w:rPr>
          <w:rFonts w:eastAsia="Calibri"/>
          <w:sz w:val="20"/>
          <w:szCs w:val="20"/>
          <w:lang w:val="en-US" w:eastAsia="en-US"/>
        </w:rPr>
      </w:pPr>
      <w:r>
        <w:rPr>
          <w:rFonts w:eastAsia="Calibri"/>
          <w:sz w:val="20"/>
          <w:szCs w:val="20"/>
          <w:lang w:val="en-US" w:eastAsia="en-US"/>
        </w:rPr>
        <w:t>M. S. Kamenskikh</w:t>
      </w:r>
      <w:r>
        <w:rPr>
          <w:rFonts w:eastAsia="Calibri"/>
          <w:sz w:val="20"/>
          <w:szCs w:val="20"/>
          <w:vertAlign w:val="superscript"/>
          <w:lang w:val="ru-RU" w:eastAsia="en-US"/>
        </w:rPr>
        <w:t>2</w:t>
      </w:r>
      <w:r>
        <w:rPr>
          <w:rFonts w:eastAsia="Calibri"/>
          <w:sz w:val="20"/>
          <w:szCs w:val="20"/>
          <w:lang w:val="en-US" w:eastAsia="en-US"/>
        </w:rPr>
        <w:t>, A. V. Zagatina</w:t>
      </w:r>
      <w:r>
        <w:rPr>
          <w:rFonts w:eastAsia="Calibri"/>
          <w:sz w:val="20"/>
          <w:szCs w:val="20"/>
          <w:vertAlign w:val="superscript"/>
          <w:lang w:val="ru-RU" w:eastAsia="en-US"/>
        </w:rPr>
        <w:t>2</w:t>
      </w:r>
      <w:r>
        <w:rPr>
          <w:rFonts w:eastAsia="Calibri"/>
          <w:sz w:val="20"/>
          <w:szCs w:val="20"/>
          <w:lang w:val="en-US" w:eastAsia="en-US"/>
        </w:rPr>
        <w:t>, N. T. Zhuravskaya</w:t>
      </w:r>
      <w:r>
        <w:rPr>
          <w:rFonts w:eastAsia="Calibri"/>
          <w:sz w:val="20"/>
          <w:szCs w:val="20"/>
          <w:vertAlign w:val="superscript"/>
          <w:lang w:val="ru-RU" w:eastAsia="en-US"/>
        </w:rPr>
        <w:t>2</w:t>
      </w:r>
      <w:r>
        <w:rPr>
          <w:rFonts w:eastAsia="Calibri"/>
          <w:sz w:val="20"/>
          <w:szCs w:val="20"/>
          <w:lang w:val="en-US" w:eastAsia="en-US"/>
        </w:rPr>
        <w:t>, Y.N. Fedotov</w:t>
      </w:r>
      <w:r>
        <w:rPr>
          <w:rFonts w:eastAsia="Calibri"/>
          <w:sz w:val="20"/>
          <w:szCs w:val="20"/>
          <w:vertAlign w:val="superscript"/>
          <w:lang w:val="en-US" w:eastAsia="en-US"/>
        </w:rPr>
        <w:t>1,2</w:t>
      </w:r>
      <w:r>
        <w:rPr>
          <w:rFonts w:eastAsia="Calibri"/>
          <w:sz w:val="20"/>
          <w:szCs w:val="20"/>
          <w:vertAlign w:val="baseline"/>
          <w:lang w:val="ru-RU" w:eastAsia="en-US"/>
        </w:rPr>
        <w:t>,</w:t>
      </w:r>
      <w:r>
        <w:rPr>
          <w:rFonts w:eastAsia="Calibri"/>
          <w:sz w:val="20"/>
          <w:szCs w:val="20"/>
          <w:vertAlign w:val="superscript"/>
          <w:lang w:val="en-US" w:eastAsia="en-US"/>
        </w:rPr>
        <w:t xml:space="preserve"> </w:t>
      </w:r>
      <w:r>
        <w:rPr>
          <w:rFonts w:eastAsia="Calibri"/>
          <w:sz w:val="20"/>
          <w:szCs w:val="20"/>
          <w:lang w:val="en-US" w:eastAsia="en-US"/>
        </w:rPr>
        <w:t>D. V. Shmatov</w:t>
      </w:r>
      <w:r>
        <w:rPr>
          <w:rFonts w:eastAsia="Calibri"/>
          <w:sz w:val="20"/>
          <w:szCs w:val="20"/>
          <w:vertAlign w:val="superscript"/>
          <w:lang w:val="en-US" w:eastAsia="en-US"/>
        </w:rPr>
        <w:t>1,2</w:t>
      </w:r>
      <w:r>
        <w:rPr>
          <w:rFonts w:eastAsia="Calibri"/>
          <w:sz w:val="20"/>
          <w:szCs w:val="20"/>
          <w:vertAlign w:val="baseline"/>
          <w:lang w:val="ru-RU" w:eastAsia="en-US"/>
        </w:rPr>
        <w:t>.</w:t>
      </w:r>
    </w:p>
    <w:p>
      <w:pPr>
        <w:pStyle w:val="2"/>
        <w:keepNext w:val="0"/>
        <w:keepLines w:val="0"/>
        <w:widowControl/>
        <w:suppressLineNumbers w:val="0"/>
        <w:shd w:val="clear" w:fill="FFFFFF"/>
        <w:spacing w:line="240" w:lineRule="auto"/>
        <w:ind w:left="0" w:firstLine="0"/>
        <w:jc w:val="both"/>
        <w:rPr>
          <w:rFonts w:hint="default" w:ascii="Times New Roman" w:hAnsi="Times New Roman" w:cs="Times New Roman"/>
          <w:b w:val="0"/>
          <w:i w:val="0"/>
          <w:caps w:val="0"/>
          <w:color w:val="000000"/>
          <w:spacing w:val="0"/>
          <w:sz w:val="20"/>
          <w:szCs w:val="20"/>
          <w:shd w:val="clear" w:fill="FFFFFF"/>
          <w:lang w:val="en-US"/>
        </w:rPr>
      </w:pPr>
      <w:r>
        <w:rPr>
          <w:rFonts w:hint="default" w:ascii="Times New Roman" w:hAnsi="Times New Roman" w:cs="Times New Roman"/>
          <w:b w:val="0"/>
          <w:i w:val="0"/>
          <w:caps w:val="0"/>
          <w:color w:val="000000"/>
          <w:spacing w:val="0"/>
          <w:sz w:val="20"/>
          <w:szCs w:val="20"/>
          <w:shd w:val="clear" w:fill="FFFFFF"/>
          <w:vertAlign w:val="superscript"/>
          <w:lang w:val="en-US"/>
        </w:rPr>
        <w:t>1</w:t>
      </w:r>
      <w:r>
        <w:rPr>
          <w:rFonts w:hint="default" w:ascii="Times New Roman" w:hAnsi="Times New Roman" w:cs="Times New Roman"/>
          <w:b w:val="0"/>
          <w:i w:val="0"/>
          <w:caps w:val="0"/>
          <w:color w:val="000000"/>
          <w:spacing w:val="0"/>
          <w:sz w:val="20"/>
          <w:szCs w:val="20"/>
          <w:shd w:val="clear" w:fill="FFFFFF"/>
          <w:lang w:val="en-US"/>
        </w:rPr>
        <w:t>Saint - Petersburg State University</w:t>
      </w:r>
    </w:p>
    <w:p>
      <w:pPr>
        <w:pStyle w:val="2"/>
        <w:keepNext w:val="0"/>
        <w:keepLines w:val="0"/>
        <w:widowControl/>
        <w:suppressLineNumbers w:val="0"/>
        <w:shd w:val="clear" w:fill="FFFFFF"/>
        <w:spacing w:line="240" w:lineRule="auto"/>
        <w:ind w:left="0" w:firstLine="0"/>
        <w:jc w:val="both"/>
        <w:rPr>
          <w:rFonts w:hint="default" w:ascii="Times New Roman" w:hAnsi="Times New Roman" w:cs="Times New Roman"/>
          <w:b w:val="0"/>
          <w:i w:val="0"/>
          <w:caps w:val="0"/>
          <w:color w:val="000000"/>
          <w:spacing w:val="0"/>
          <w:sz w:val="20"/>
          <w:szCs w:val="20"/>
        </w:rPr>
      </w:pPr>
      <w:r>
        <w:rPr>
          <w:rFonts w:hint="default" w:ascii="Times New Roman" w:hAnsi="Times New Roman" w:eastAsia="Times New Roman" w:cs="Times New Roman"/>
          <w:sz w:val="20"/>
          <w:szCs w:val="20"/>
          <w:vertAlign w:val="superscript"/>
          <w:lang w:val="en-US" w:eastAsia="ru-RU"/>
        </w:rPr>
        <w:t>2</w:t>
      </w:r>
      <w:r>
        <w:rPr>
          <w:rFonts w:hint="default" w:ascii="Times New Roman" w:hAnsi="Times New Roman" w:cs="Times New Roman"/>
          <w:b w:val="0"/>
          <w:i w:val="0"/>
          <w:caps w:val="0"/>
          <w:color w:val="000000"/>
          <w:spacing w:val="0"/>
          <w:sz w:val="20"/>
          <w:szCs w:val="20"/>
          <w:shd w:val="clear" w:fill="FFFFFF"/>
          <w:lang w:val="en-US"/>
        </w:rPr>
        <w:t>Clinic of Advanced Medical Technologies n.a. Nikolay I. Pirogov</w:t>
      </w:r>
    </w:p>
    <w:p>
      <w:pPr>
        <w:pStyle w:val="2"/>
        <w:keepNext w:val="0"/>
        <w:keepLines w:val="0"/>
        <w:widowControl/>
        <w:suppressLineNumbers w:val="0"/>
        <w:shd w:val="clear" w:fill="FFFFFF"/>
        <w:spacing w:line="240" w:lineRule="auto"/>
        <w:ind w:left="0" w:firstLine="0"/>
        <w:jc w:val="both"/>
        <w:rPr>
          <w:rFonts w:hint="default" w:ascii="Times New Roman" w:hAnsi="Times New Roman" w:cs="Times New Roman"/>
          <w:b w:val="0"/>
          <w:i w:val="0"/>
          <w:caps w:val="0"/>
          <w:color w:val="000000"/>
          <w:spacing w:val="0"/>
          <w:sz w:val="20"/>
          <w:szCs w:val="20"/>
        </w:rPr>
      </w:pPr>
      <w:r>
        <w:rPr>
          <w:rFonts w:hint="default" w:ascii="Times New Roman" w:hAnsi="Times New Roman" w:cs="Times New Roman"/>
          <w:b w:val="0"/>
          <w:i w:val="0"/>
          <w:caps w:val="0"/>
          <w:color w:val="000000"/>
          <w:spacing w:val="0"/>
          <w:sz w:val="20"/>
          <w:szCs w:val="20"/>
          <w:shd w:val="clear" w:fill="FFFFFF"/>
          <w:lang w:val="en-US"/>
        </w:rPr>
        <w:t xml:space="preserve">154, Fontanka Embankment </w:t>
      </w:r>
      <w:r>
        <w:rPr>
          <w:rFonts w:hint="default" w:ascii="Times New Roman" w:hAnsi="Times New Roman" w:cs="Times New Roman"/>
          <w:b w:val="0"/>
          <w:i w:val="0"/>
          <w:caps w:val="0"/>
          <w:color w:val="000000"/>
          <w:spacing w:val="0"/>
          <w:sz w:val="20"/>
          <w:szCs w:val="20"/>
          <w:shd w:val="clear" w:fill="FFFFFF"/>
        </w:rPr>
        <w:t>19</w:t>
      </w:r>
      <w:r>
        <w:rPr>
          <w:rFonts w:hint="default" w:cs="Times New Roman"/>
          <w:b w:val="0"/>
          <w:i w:val="0"/>
          <w:caps w:val="0"/>
          <w:color w:val="000000"/>
          <w:spacing w:val="0"/>
          <w:sz w:val="20"/>
          <w:szCs w:val="20"/>
          <w:shd w:val="clear" w:fill="FFFFFF"/>
          <w:lang w:val="ru-RU"/>
        </w:rPr>
        <w:t>0</w:t>
      </w:r>
      <w:r>
        <w:rPr>
          <w:rFonts w:hint="default" w:ascii="Times New Roman" w:hAnsi="Times New Roman" w:cs="Times New Roman"/>
          <w:b w:val="0"/>
          <w:i w:val="0"/>
          <w:caps w:val="0"/>
          <w:color w:val="000000"/>
          <w:spacing w:val="0"/>
          <w:sz w:val="20"/>
          <w:szCs w:val="20"/>
          <w:shd w:val="clear" w:fill="FFFFFF"/>
        </w:rPr>
        <w:t>103, Saint - Petersburg</w:t>
      </w:r>
      <w:r>
        <w:rPr>
          <w:rFonts w:hint="default" w:ascii="Times New Roman" w:hAnsi="Times New Roman" w:cs="Times New Roman"/>
          <w:b w:val="0"/>
          <w:i w:val="0"/>
          <w:caps w:val="0"/>
          <w:color w:val="000000"/>
          <w:spacing w:val="0"/>
          <w:sz w:val="20"/>
          <w:szCs w:val="20"/>
          <w:shd w:val="clear" w:fill="FFFFFF"/>
          <w:lang w:val="ru-RU"/>
        </w:rPr>
        <w:t>,</w:t>
      </w:r>
      <w:r>
        <w:rPr>
          <w:rFonts w:hint="default" w:ascii="Times New Roman" w:hAnsi="Times New Roman" w:cs="Times New Roman"/>
          <w:b w:val="0"/>
          <w:i w:val="0"/>
          <w:caps w:val="0"/>
          <w:color w:val="000000"/>
          <w:spacing w:val="0"/>
          <w:sz w:val="20"/>
          <w:szCs w:val="20"/>
          <w:shd w:val="clear" w:fill="FFFFFF"/>
          <w:lang w:val="en-US"/>
        </w:rPr>
        <w:t xml:space="preserve"> </w:t>
      </w:r>
      <w:r>
        <w:rPr>
          <w:rFonts w:hint="default" w:ascii="Times New Roman" w:hAnsi="Times New Roman" w:cs="Times New Roman"/>
          <w:b w:val="0"/>
          <w:i w:val="0"/>
          <w:caps w:val="0"/>
          <w:color w:val="000000"/>
          <w:spacing w:val="0"/>
          <w:sz w:val="20"/>
          <w:szCs w:val="20"/>
          <w:shd w:val="clear" w:fill="FFFFFF"/>
        </w:rPr>
        <w:t>Russian Federation</w:t>
      </w:r>
      <w:r>
        <w:rPr>
          <w:rFonts w:hint="default" w:ascii="Times New Roman" w:hAnsi="Times New Roman" w:cs="Times New Roman"/>
          <w:b w:val="0"/>
          <w:i w:val="0"/>
          <w:caps w:val="0"/>
          <w:color w:val="000000"/>
          <w:spacing w:val="0"/>
          <w:sz w:val="20"/>
          <w:szCs w:val="20"/>
          <w:shd w:val="clear" w:fill="FFFFFF"/>
          <w:lang w:val="ru-RU"/>
        </w:rPr>
        <w:t>.</w:t>
      </w:r>
    </w:p>
    <w:p>
      <w:pPr>
        <w:spacing w:after="160" w:line="360" w:lineRule="auto"/>
        <w:contextualSpacing/>
        <w:jc w:val="both"/>
        <w:rPr>
          <w:sz w:val="24"/>
          <w:szCs w:val="24"/>
          <w:lang w:val="en-US"/>
        </w:rPr>
      </w:pPr>
      <w:r>
        <w:rPr>
          <w:b/>
          <w:sz w:val="24"/>
          <w:szCs w:val="24"/>
          <w:lang w:val="en-US"/>
        </w:rPr>
        <w:t>Abstract</w:t>
      </w:r>
      <w:r>
        <w:rPr>
          <w:b/>
          <w:sz w:val="24"/>
          <w:szCs w:val="24"/>
          <w:lang w:val="en-US"/>
        </w:rPr>
        <w:br w:type="textWrapping"/>
      </w:r>
      <w:r>
        <w:rPr>
          <w:b/>
          <w:sz w:val="24"/>
          <w:szCs w:val="24"/>
          <w:lang w:val="en-US"/>
        </w:rPr>
        <w:t>The aim</w:t>
      </w:r>
      <w:r>
        <w:rPr>
          <w:sz w:val="24"/>
          <w:szCs w:val="24"/>
          <w:lang w:val="en-US"/>
        </w:rPr>
        <w:t xml:space="preserve"> of the study was to identify effects of myocardial revascularization on the prognosis of patients with altered coronary blood flow detected by transthoracic ultrasound.</w:t>
      </w:r>
    </w:p>
    <w:p>
      <w:pPr>
        <w:spacing w:after="160" w:line="360" w:lineRule="auto"/>
        <w:contextualSpacing/>
        <w:jc w:val="both"/>
        <w:rPr>
          <w:sz w:val="24"/>
          <w:szCs w:val="24"/>
          <w:lang w:val="en-US"/>
        </w:rPr>
      </w:pPr>
      <w:r>
        <w:rPr>
          <w:b/>
          <w:sz w:val="24"/>
          <w:szCs w:val="24"/>
          <w:lang w:val="en-US"/>
        </w:rPr>
        <w:t xml:space="preserve">Material and methods: </w:t>
      </w:r>
      <w:r>
        <w:rPr>
          <w:sz w:val="24"/>
          <w:szCs w:val="24"/>
          <w:lang w:val="en-US"/>
        </w:rPr>
        <w:t xml:space="preserve"> Four hundred and twelve (412) patients were included in the study. The inclusion criteria was coronary velocity more than 70 cm/s during echocardiography. The study population was divided into three groups: Group 1 - patients with high velocities in the coronary arteries detected by ultrasound, on whom myocardial revascularization was performed; Group 2 - patients with high velocities in the coronary arteries, on whom myocardial revascularization was not performed and; the Control Group – patients with normal coronary blood flow according to ultrasound. The follow-up period was ten-eleven months.</w:t>
      </w:r>
    </w:p>
    <w:p>
      <w:pPr>
        <w:spacing w:after="160" w:line="360" w:lineRule="auto"/>
        <w:contextualSpacing/>
        <w:jc w:val="both"/>
        <w:rPr>
          <w:sz w:val="24"/>
          <w:szCs w:val="24"/>
          <w:lang w:val="en-US"/>
        </w:rPr>
      </w:pPr>
      <w:r>
        <w:rPr>
          <w:b/>
          <w:sz w:val="24"/>
          <w:szCs w:val="24"/>
          <w:lang w:val="en-US"/>
        </w:rPr>
        <w:t>Results</w:t>
      </w:r>
      <w:r>
        <w:rPr>
          <w:sz w:val="24"/>
          <w:szCs w:val="24"/>
          <w:lang w:val="en-US"/>
        </w:rPr>
        <w:t>: Seventeen (17) deaths (4.7%) occurred during follow-up. Death rates were 1.6% vs 8.1% vs 0%; Group 1, Group 2, and the Control Group, respectively. P1 &lt;0.005, p2 &lt;0.003 the difference between Group 1, Group 2, between Group 1 and 2 and the Control group.</w:t>
      </w:r>
    </w:p>
    <w:p>
      <w:pPr>
        <w:spacing w:after="160" w:line="360" w:lineRule="auto"/>
        <w:contextualSpacing/>
        <w:jc w:val="both"/>
        <w:rPr>
          <w:sz w:val="24"/>
          <w:szCs w:val="24"/>
          <w:lang w:val="en-US"/>
        </w:rPr>
      </w:pPr>
      <w:r>
        <w:rPr>
          <w:sz w:val="24"/>
          <w:szCs w:val="24"/>
          <w:lang w:val="en-US"/>
        </w:rPr>
        <w:t>Death/myocardial infarction/pulmonary edema/acute coronary syndrome were observed in 27 patients (7.7% of the study group with accelerated blood flow). These rates were 4.9% vs 11.0% vs 0%;  p1 &lt;0.04, p2 &lt;0.003.</w:t>
      </w:r>
    </w:p>
    <w:p>
      <w:pPr>
        <w:spacing w:after="160" w:line="360" w:lineRule="auto"/>
        <w:contextualSpacing/>
        <w:jc w:val="both"/>
        <w:rPr>
          <w:sz w:val="24"/>
          <w:szCs w:val="24"/>
          <w:lang w:val="en-US"/>
        </w:rPr>
      </w:pPr>
      <w:r>
        <w:rPr>
          <w:sz w:val="24"/>
          <w:szCs w:val="24"/>
          <w:lang w:val="en-US"/>
        </w:rPr>
        <w:t>Discussion: The study showed high rates of mortality or acute coronary events in the groups of patients with pathologically high coronary flow velocities. The positive effects of revascularization on survival is reflected in the comparison between Group 1 and Group 2.</w:t>
      </w:r>
    </w:p>
    <w:p>
      <w:pPr>
        <w:spacing w:after="160" w:line="360" w:lineRule="auto"/>
        <w:contextualSpacing/>
        <w:jc w:val="both"/>
        <w:rPr>
          <w:sz w:val="24"/>
          <w:szCs w:val="24"/>
          <w:lang w:val="en-US"/>
        </w:rPr>
      </w:pPr>
      <w:r>
        <w:rPr>
          <w:b/>
          <w:sz w:val="24"/>
          <w:szCs w:val="24"/>
          <w:lang w:val="en-US"/>
        </w:rPr>
        <w:t>Conclusion:</w:t>
      </w:r>
      <w:r>
        <w:rPr>
          <w:b/>
          <w:sz w:val="24"/>
          <w:szCs w:val="24"/>
          <w:lang w:val="en-US"/>
        </w:rPr>
        <w:br w:type="textWrapping"/>
      </w:r>
      <w:r>
        <w:rPr>
          <w:sz w:val="24"/>
          <w:szCs w:val="24"/>
          <w:lang w:val="en-US"/>
        </w:rPr>
        <w:t>1. Left artery coronary flow velocities over 70 cm/s indicates a high probability of death or acute coronary events within 10.5 months.</w:t>
      </w:r>
      <w:r>
        <w:rPr>
          <w:sz w:val="24"/>
          <w:szCs w:val="24"/>
          <w:lang w:val="en-US"/>
        </w:rPr>
        <w:br w:type="textWrapping"/>
      </w:r>
      <w:r>
        <w:rPr>
          <w:sz w:val="24"/>
          <w:szCs w:val="24"/>
          <w:lang w:val="en-US"/>
        </w:rPr>
        <w:t>2. Myocardial revascularization has a significant positive effect on the survival rate and incidence of acute coronary events in patients with coronary artery flow velocities greater than 70 cm/s.</w:t>
      </w:r>
    </w:p>
    <w:p>
      <w:pPr>
        <w:spacing w:after="160" w:line="360" w:lineRule="auto"/>
        <w:contextualSpacing/>
        <w:jc w:val="both"/>
        <w:rPr>
          <w:sz w:val="24"/>
          <w:szCs w:val="24"/>
          <w:lang w:val="en-US"/>
        </w:rPr>
      </w:pPr>
      <w:r>
        <w:rPr>
          <w:sz w:val="24"/>
          <w:szCs w:val="24"/>
          <w:lang w:val="en-US"/>
        </w:rPr>
        <w:t>3. Patients with high coronary blood flow velocities should be referred to coronary angiography or other diagnostic tests without waiting for clinical manifestations and specific symptoms for CAD.</w:t>
      </w:r>
    </w:p>
    <w:p>
      <w:pPr>
        <w:rPr>
          <w:sz w:val="24"/>
          <w:szCs w:val="24"/>
        </w:rPr>
      </w:pPr>
    </w:p>
    <w:p>
      <w:pPr>
        <w:rPr>
          <w:sz w:val="24"/>
          <w:szCs w:val="24"/>
        </w:rPr>
      </w:pPr>
    </w:p>
    <w:p>
      <w:pPr>
        <w:rPr>
          <w:rFonts w:hint="default"/>
          <w:sz w:val="24"/>
          <w:szCs w:val="24"/>
          <w:lang w:val="en-US"/>
        </w:rPr>
      </w:pPr>
      <w:r>
        <w:rPr>
          <w:sz w:val="24"/>
          <w:szCs w:val="24"/>
          <w:lang w:val="en-US"/>
        </w:rPr>
        <w:t xml:space="preserve">Biography: </w:t>
      </w:r>
      <w:r>
        <w:rPr>
          <w:rFonts w:hint="default"/>
          <w:sz w:val="24"/>
          <w:szCs w:val="24"/>
          <w:lang w:val="en-US"/>
        </w:rPr>
        <w:t>Maxim Kamenskikh complited the Medical Academy in 2006, currently he is a leading cardiac surgeon at St. Petersburg state University. Clinic of advanced medical technologies n.a. Pirogov Nikolai Ivanovich. St. Petersburg, Russian Federation.</w:t>
      </w:r>
    </w:p>
    <w:p>
      <w:pPr>
        <w:rPr>
          <w:rFonts w:hint="default"/>
          <w:sz w:val="24"/>
          <w:szCs w:val="24"/>
          <w:lang w:val="en-US"/>
        </w:rPr>
      </w:pPr>
    </w:p>
    <w:p>
      <w:pPr>
        <w:wordWrap w:val="0"/>
        <w:jc w:val="right"/>
        <w:rPr>
          <w:rFonts w:hint="default"/>
          <w:sz w:val="24"/>
          <w:szCs w:val="24"/>
          <w:lang w:val="en-US"/>
        </w:rPr>
      </w:pPr>
      <w:r>
        <w:rPr>
          <w:rFonts w:hint="default"/>
          <w:sz w:val="24"/>
          <w:szCs w:val="24"/>
          <w:lang w:val="en-US"/>
        </w:rPr>
        <w:t xml:space="preserve">E mail ID: </w:t>
      </w:r>
      <w:r>
        <w:rPr>
          <w:rFonts w:hint="default"/>
          <w:sz w:val="24"/>
          <w:szCs w:val="24"/>
          <w:lang w:val="en-US"/>
        </w:rPr>
        <w:fldChar w:fldCharType="begin"/>
      </w:r>
      <w:r>
        <w:rPr>
          <w:rFonts w:hint="default"/>
          <w:sz w:val="24"/>
          <w:szCs w:val="24"/>
          <w:lang w:val="en-US"/>
        </w:rPr>
        <w:instrText xml:space="preserve"> HYPERLINK "mailto:kamen-maksim@yandex.ru" </w:instrText>
      </w:r>
      <w:r>
        <w:rPr>
          <w:rFonts w:hint="default"/>
          <w:sz w:val="24"/>
          <w:szCs w:val="24"/>
          <w:lang w:val="en-US"/>
        </w:rPr>
        <w:fldChar w:fldCharType="separate"/>
      </w:r>
      <w:r>
        <w:rPr>
          <w:rStyle w:val="4"/>
          <w:rFonts w:hint="default"/>
          <w:sz w:val="24"/>
          <w:szCs w:val="24"/>
          <w:lang w:val="en-US"/>
        </w:rPr>
        <w:t>kamen-maksim@yandex.ru</w:t>
      </w:r>
      <w:r>
        <w:rPr>
          <w:rFonts w:hint="default"/>
          <w:sz w:val="24"/>
          <w:szCs w:val="24"/>
          <w:lang w:val="en-US"/>
        </w:rPr>
        <w:fldChar w:fldCharType="end"/>
      </w:r>
    </w:p>
    <w:p>
      <w:pPr>
        <w:wordWrap/>
        <w:jc w:val="right"/>
        <w:rPr>
          <w:rFonts w:hint="default"/>
          <w:sz w:val="24"/>
          <w:szCs w:val="24"/>
          <w:lang w:val="en-US"/>
        </w:rPr>
      </w:pPr>
    </w:p>
    <w:p>
      <w:pPr>
        <w:autoSpaceDE w:val="0"/>
        <w:autoSpaceDN w:val="0"/>
        <w:adjustRightInd w:val="0"/>
        <w:rPr>
          <w:b/>
          <w:lang w:val="en-NZ"/>
        </w:rPr>
      </w:pPr>
      <w:r>
        <w:rPr>
          <w:lang w:val="en-NZ"/>
        </w:rPr>
        <w:t xml:space="preserve">Full name: </w:t>
      </w:r>
      <w:r>
        <w:rPr>
          <w:rFonts w:hint="default"/>
          <w:sz w:val="24"/>
          <w:szCs w:val="24"/>
          <w:lang w:val="en-US"/>
        </w:rPr>
        <w:t>Maxim Kamenskikh</w:t>
      </w:r>
      <w:r>
        <w:rPr>
          <w:lang w:val="en-NZ"/>
        </w:rPr>
        <w:br w:type="textWrapping"/>
      </w:r>
      <w:r>
        <w:rPr>
          <w:lang w:val="en-NZ"/>
        </w:rPr>
        <w:t>Contact number:</w:t>
      </w:r>
      <w:r>
        <w:rPr>
          <w:lang w:val="en-US"/>
        </w:rPr>
        <w:t xml:space="preserve"> +7 911 086 1301</w:t>
      </w:r>
      <w:r>
        <w:rPr>
          <w:lang w:val="en-NZ"/>
        </w:rPr>
        <w:br w:type="textWrapping"/>
      </w:r>
      <w:r>
        <w:rPr>
          <w:lang w:val="en-NZ"/>
        </w:rPr>
        <w:t>Twitter account:</w:t>
      </w:r>
      <w:r>
        <w:rPr>
          <w:lang w:val="en-NZ"/>
        </w:rPr>
        <w:br w:type="textWrapping"/>
      </w:r>
      <w:r>
        <w:rPr>
          <w:lang w:val="en-NZ"/>
        </w:rPr>
        <w:t>Linked In account:</w:t>
      </w:r>
    </w:p>
    <w:p>
      <w:pPr>
        <w:wordWrap/>
        <w:jc w:val="left"/>
        <w:rPr>
          <w:rFonts w:hint="default"/>
          <w:sz w:val="24"/>
          <w:szCs w:val="24"/>
          <w:lang w:val="en-US"/>
        </w:rPr>
      </w:pPr>
      <w:r>
        <w:rPr>
          <w:lang w:val="en-NZ"/>
        </w:rPr>
        <w:t>Session name/ number:</w:t>
      </w:r>
      <w:r>
        <w:rPr>
          <w:lang w:val="en-US"/>
        </w:rPr>
        <w:t xml:space="preserve"> Coronary artery disease</w:t>
      </w:r>
      <w:r>
        <w:rPr>
          <w:lang w:val="en-NZ"/>
        </w:rPr>
        <w:br w:type="textWrapping"/>
      </w:r>
      <w:r>
        <w:rPr>
          <w:lang w:val="en-NZ"/>
        </w:rPr>
        <w:t>Category: Poster presentation</w:t>
      </w:r>
      <w:r>
        <w:rPr>
          <w:lang w:val="en-NZ"/>
        </w:rPr>
        <w:br w:type="textWrapp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CC"/>
    <w:family w:val="swiss"/>
    <w:pitch w:val="default"/>
    <w:sig w:usb0="E10002FF" w:usb1="4000ACFF" w:usb2="00000009" w:usb3="00000000" w:csb0="2000019F" w:csb1="00000000"/>
  </w:font>
  <w:font w:name="Cambria">
    <w:panose1 w:val="02040503050406030204"/>
    <w:charset w:val="CC"/>
    <w:family w:val="roman"/>
    <w:pitch w:val="default"/>
    <w:sig w:usb0="E00002FF" w:usb1="400004FF" w:usb2="00000000" w:usb3="00000000" w:csb0="2000019F"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CC"/>
    <w:family w:val="modern"/>
    <w:pitch w:val="default"/>
    <w:sig w:usb0="E0002AFF" w:usb1="C0007843" w:usb2="00000009" w:usb3="00000000" w:csb0="400001FF" w:csb1="FFFF0000"/>
  </w:font>
  <w:font w:name="Segoe UI">
    <w:panose1 w:val="020B0502040204020203"/>
    <w:charset w:val="00"/>
    <w:family w:val="auto"/>
    <w:pitch w:val="default"/>
    <w:sig w:usb0="E10022FF" w:usb1="C000E47F" w:usb2="00000029" w:usb3="00000000" w:csb0="200001DF" w:csb1="20000000"/>
  </w:font>
  <w:font w:name="Gautami">
    <w:panose1 w:val="020B0502040204020203"/>
    <w:charset w:val="01"/>
    <w:family w:val="roman"/>
    <w:pitch w:val="default"/>
    <w:sig w:usb0="00200003" w:usb1="00000000" w:usb2="00000000" w:usb3="00000000" w:csb0="00000001" w:csb1="00000000"/>
  </w:font>
  <w:font w:name="MS PGothic">
    <w:panose1 w:val="020B0600070205080204"/>
    <w:charset w:val="80"/>
    <w:family w:val="swiss"/>
    <w:pitch w:val="default"/>
    <w:sig w:usb0="E00002FF" w:usb1="6AC7FDFB" w:usb2="00000012" w:usb3="00000000" w:csb0="4002009F" w:csb1="DFD70000"/>
  </w:font>
  <w:font w:name="Batang">
    <w:panose1 w:val="0203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606DA0"/>
    <w:rsid w:val="0AA10E70"/>
    <w:rsid w:val="33606DA0"/>
    <w:rsid w:val="3D26063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imes New Roman" w:hAnsi="Times New Roman" w:cs="Times New Roman" w:eastAsiaTheme="minorHAnsi"/>
      <w:sz w:val="24"/>
      <w:szCs w:val="24"/>
      <w:lang w:val="ru-RU"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Office_10.2.0.5820_F1E327BC-269C-435d-A152-05C5408002CA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2019-01-21T09:40:00Z</dcterms:created>
  <dc:creator>akogevn</dc:creator>
  <cp:lastModifiedBy>akogevn</cp:lastModifiedBy>
  <dcterms:modified xsi:type="dcterms:W3CDTF">2019-02-12T09:18:50Z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1049-10.2.0.5820</vt:lpwstr>
  </property>
</Properties>
</file>