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7EADA" w14:textId="77777777" w:rsidR="00BE24F9" w:rsidRPr="004F64C1" w:rsidRDefault="00BE24F9" w:rsidP="00BE24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4F64C1">
        <w:rPr>
          <w:rFonts w:ascii="Times New Roman" w:hAnsi="Times New Roman" w:cs="Times New Roman"/>
          <w:b/>
          <w:bCs/>
          <w:color w:val="000000"/>
        </w:rPr>
        <w:t xml:space="preserve">Critical evaluation of 20 years of use of onlay hydroxyapatite cement for correction of </w:t>
      </w:r>
      <w:r>
        <w:rPr>
          <w:rFonts w:ascii="Times New Roman" w:hAnsi="Times New Roman" w:cs="Times New Roman"/>
          <w:b/>
          <w:bCs/>
          <w:color w:val="000000"/>
        </w:rPr>
        <w:t xml:space="preserve">forehead </w:t>
      </w:r>
      <w:r w:rsidRPr="004F64C1">
        <w:rPr>
          <w:rFonts w:ascii="Times New Roman" w:hAnsi="Times New Roman" w:cs="Times New Roman"/>
          <w:b/>
          <w:bCs/>
          <w:color w:val="000000"/>
        </w:rPr>
        <w:t>contour irregularities as a result of previous fronto-orbital advancement for correction of metopic and coronal craniosynostosis at the Sydney Children’s Hospital</w:t>
      </w:r>
    </w:p>
    <w:p w14:paraId="1A998F47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</w:pPr>
    </w:p>
    <w:p w14:paraId="101A67CB" w14:textId="39CFBCB6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4F64C1"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  <w:t>Marcio BRUSSIUS COELHO</w:t>
      </w:r>
      <w:r w:rsidR="00326667">
        <w:rPr>
          <w:rFonts w:ascii="Times New Roman" w:hAnsi="Times New Roman" w:cs="Times New Roman"/>
          <w:b/>
          <w:bCs/>
          <w:color w:val="000000"/>
          <w:sz w:val="13"/>
          <w:szCs w:val="13"/>
          <w:vertAlign w:val="superscript"/>
          <w:lang w:val="en-US"/>
        </w:rPr>
        <w:t>1,2</w:t>
      </w:r>
      <w:r w:rsidRPr="004F64C1">
        <w:rPr>
          <w:rFonts w:ascii="Times New Roman" w:hAnsi="Times New Roman" w:cs="Times New Roman"/>
          <w:b/>
          <w:bCs/>
          <w:color w:val="000000"/>
          <w:sz w:val="13"/>
          <w:szCs w:val="13"/>
          <w:vertAlign w:val="superscript"/>
          <w:lang w:val="en-US"/>
        </w:rPr>
        <w:t>,3</w:t>
      </w:r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>, Mark GIANOUTSOS</w:t>
      </w:r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>1,</w:t>
      </w:r>
      <w:proofErr w:type="gramStart"/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 xml:space="preserve">2 </w:t>
      </w:r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>,</w:t>
      </w:r>
      <w:proofErr w:type="gramEnd"/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Jeremy HUNT</w:t>
      </w:r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>1</w:t>
      </w:r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Tim S. PELTZ</w:t>
      </w:r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>Danielle GARDNER</w:t>
      </w:r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>1</w:t>
      </w:r>
      <w:r w:rsidRPr="004F64C1">
        <w:rPr>
          <w:rFonts w:ascii="Times New Roman" w:hAnsi="Times New Roman" w:cs="Times New Roman"/>
          <w:color w:val="000000"/>
          <w:sz w:val="20"/>
          <w:szCs w:val="20"/>
          <w:lang w:val="en-US"/>
        </w:rPr>
        <w:t>, Michael RTSHILADZE</w:t>
      </w:r>
      <w:r w:rsidRPr="004F64C1">
        <w:rPr>
          <w:rFonts w:ascii="Times New Roman" w:hAnsi="Times New Roman" w:cs="Times New Roman"/>
          <w:color w:val="000000"/>
          <w:sz w:val="13"/>
          <w:szCs w:val="13"/>
          <w:vertAlign w:val="superscript"/>
          <w:lang w:val="en-US"/>
        </w:rPr>
        <w:t>1</w:t>
      </w:r>
    </w:p>
    <w:p w14:paraId="600C97C8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</w:pPr>
    </w:p>
    <w:p w14:paraId="5E27C6F8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</w:pPr>
      <w:r w:rsidRPr="004F64C1"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  <w:t>1 Sydney Children’s Hospital, Sydney, Australia</w:t>
      </w:r>
    </w:p>
    <w:p w14:paraId="370906D7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</w:pPr>
      <w:r w:rsidRPr="004F64C1"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  <w:t>2 University of New South Wales, Sydney, Australia</w:t>
      </w:r>
    </w:p>
    <w:p w14:paraId="70582B69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lang w:val="en-GB"/>
        </w:rPr>
      </w:pPr>
      <w:r w:rsidRPr="004F64C1"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  <w:t>3 University of Sydney, Sydney, Australia</w:t>
      </w:r>
    </w:p>
    <w:p w14:paraId="01865C06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  <w:lang w:val="en-GB"/>
        </w:rPr>
      </w:pPr>
    </w:p>
    <w:p w14:paraId="1A8515D8" w14:textId="1A574FC4" w:rsidR="00BE24F9" w:rsidRPr="00F73AEE" w:rsidRDefault="00BE24F9" w:rsidP="00BE2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r w:rsidRPr="00A45D9D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Background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Children who undergo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bi-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fronto-orbital advancement (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B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FOA) invariably develop a contour deformity on the temporal and supra-orbital region,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with an incidence reported as high as 55% and 75%, respectively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U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p to 20% of patients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may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requi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re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correction. Hydroxyapatite cement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(HAC) 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is a good alternative to autogenous </w:t>
      </w:r>
      <w:r w:rsidR="00D908A0">
        <w:rPr>
          <w:rFonts w:ascii="Times New Roman" w:hAnsi="Times New Roman" w:cs="Times New Roman"/>
          <w:color w:val="000000"/>
          <w:sz w:val="20"/>
          <w:szCs w:val="20"/>
          <w:lang w:val="en-GB"/>
        </w:rPr>
        <w:t>tissue</w:t>
      </w:r>
      <w:bookmarkStart w:id="0" w:name="_GoBack"/>
      <w:bookmarkEnd w:id="0"/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. The available literature on its use focusses on the reconstruction of bone defects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 but l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ittle has been published on its efficacy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and safety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as an onlay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graft 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over intact cranium.</w:t>
      </w:r>
    </w:p>
    <w:p w14:paraId="7EA3B3C4" w14:textId="6982B457" w:rsidR="00BE24F9" w:rsidRPr="00F73AEE" w:rsidRDefault="00BE24F9" w:rsidP="00BE2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r w:rsidRPr="00A45D9D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Objectives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 w:rsidRPr="00BE24F9">
        <w:rPr>
          <w:rFonts w:ascii="Times New Roman" w:hAnsi="Times New Roman" w:cs="Times New Roman"/>
          <w:color w:val="000000"/>
          <w:sz w:val="20"/>
          <w:szCs w:val="20"/>
          <w:lang w:val="en-GB"/>
        </w:rPr>
        <w:t>To describe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o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ur institution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’s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experience with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HAC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in 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a purely </w:t>
      </w:r>
      <w:r w:rsidRPr="00A45D9D">
        <w:rPr>
          <w:rFonts w:ascii="Times New Roman" w:hAnsi="Times New Roman" w:cs="Times New Roman"/>
          <w:color w:val="000000"/>
          <w:sz w:val="20"/>
          <w:szCs w:val="20"/>
          <w:lang w:val="en-GB"/>
        </w:rPr>
        <w:t>paediatric population.</w:t>
      </w:r>
    </w:p>
    <w:p w14:paraId="693469AA" w14:textId="332D02D6" w:rsidR="00BE24F9" w:rsidRPr="00F73AEE" w:rsidRDefault="00BE24F9" w:rsidP="00BE2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proofErr w:type="gramStart"/>
      <w:r w:rsidRPr="00A45D9D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Methods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 w:rsidRPr="00A45D9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</w:t>
      </w:r>
      <w:r w:rsidRPr="00A45D9D">
        <w:rPr>
          <w:rFonts w:ascii="Times New Roman" w:hAnsi="Times New Roman" w:cs="Times New Roman"/>
          <w:sz w:val="20"/>
          <w:szCs w:val="20"/>
        </w:rPr>
        <w:t>etrospective</w:t>
      </w:r>
      <w:proofErr w:type="gramEnd"/>
      <w:r w:rsidRPr="00A45D9D">
        <w:rPr>
          <w:rFonts w:ascii="Times New Roman" w:hAnsi="Times New Roman" w:cs="Times New Roman"/>
          <w:sz w:val="20"/>
          <w:szCs w:val="20"/>
        </w:rPr>
        <w:t xml:space="preserve"> chart review from 1998 to 2018 on all patients from the Craniofacial Unit at the Sydney Children’s Hospital who had either coronal or metopic craniosynostosis and underwent </w:t>
      </w:r>
      <w:r>
        <w:rPr>
          <w:rFonts w:ascii="Times New Roman" w:hAnsi="Times New Roman" w:cs="Times New Roman"/>
          <w:sz w:val="20"/>
          <w:szCs w:val="20"/>
        </w:rPr>
        <w:t>BFOA</w:t>
      </w:r>
      <w:r w:rsidRPr="00A45D9D">
        <w:rPr>
          <w:rFonts w:ascii="Times New Roman" w:hAnsi="Times New Roman" w:cs="Times New Roman"/>
          <w:sz w:val="20"/>
          <w:szCs w:val="20"/>
        </w:rPr>
        <w:t xml:space="preserve"> and later in life required cranioplasty with </w:t>
      </w:r>
      <w:r>
        <w:rPr>
          <w:rFonts w:ascii="Times New Roman" w:hAnsi="Times New Roman" w:cs="Times New Roman"/>
          <w:sz w:val="20"/>
          <w:szCs w:val="20"/>
        </w:rPr>
        <w:t>HAC</w:t>
      </w:r>
      <w:r w:rsidRPr="00A45D9D">
        <w:rPr>
          <w:rFonts w:ascii="Times New Roman" w:hAnsi="Times New Roman" w:cs="Times New Roman"/>
          <w:sz w:val="20"/>
          <w:szCs w:val="20"/>
        </w:rPr>
        <w:t xml:space="preserve"> for contour repair.</w:t>
      </w:r>
    </w:p>
    <w:p w14:paraId="1AC67FF1" w14:textId="5BE4652D" w:rsidR="00BE24F9" w:rsidRPr="00F73AEE" w:rsidRDefault="00BE24F9" w:rsidP="00BE24F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45D9D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Findings </w:t>
      </w:r>
      <w:r w:rsidR="00645570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>e have performed 19 secondary cranioplasties for contour repair using onlay HA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The mean age at the time of operation was 14 years old.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i-coronal craniosynostosis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was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most frequent synostosis </w:t>
      </w:r>
      <w:r w:rsidR="00645570">
        <w:rPr>
          <w:rFonts w:ascii="Times New Roman" w:hAnsi="Times New Roman" w:cs="Times New Roman"/>
          <w:color w:val="000000" w:themeColor="text1"/>
          <w:sz w:val="20"/>
          <w:szCs w:val="20"/>
        </w:rPr>
        <w:t>associated with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secondary cranioplasty</w:t>
      </w:r>
      <w:r w:rsidR="0064557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45570">
        <w:rPr>
          <w:rFonts w:ascii="Times New Roman" w:hAnsi="Times New Roman" w:cs="Times New Roman"/>
          <w:color w:val="000000" w:themeColor="text1"/>
          <w:sz w:val="20"/>
          <w:szCs w:val="20"/>
        </w:rPr>
        <w:t>42%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had an associated syndrome. The mean volume of HA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A45D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used was 36ml</w:t>
      </w:r>
      <w:r w:rsidR="00645570">
        <w:rPr>
          <w:rFonts w:ascii="Times New Roman" w:hAnsi="Times New Roman" w:cs="Times New Roman"/>
          <w:sz w:val="20"/>
          <w:szCs w:val="20"/>
        </w:rPr>
        <w:t>.</w:t>
      </w:r>
      <w:r w:rsidRPr="00A45D9D">
        <w:rPr>
          <w:rFonts w:ascii="Times New Roman" w:hAnsi="Times New Roman" w:cs="Times New Roman"/>
          <w:sz w:val="20"/>
          <w:szCs w:val="20"/>
        </w:rPr>
        <w:t xml:space="preserve"> </w:t>
      </w:r>
      <w:r w:rsidRPr="00F73AEE">
        <w:rPr>
          <w:rFonts w:ascii="Times New Roman" w:hAnsi="Times New Roman" w:cs="Times New Roman"/>
          <w:sz w:val="20"/>
          <w:szCs w:val="20"/>
        </w:rPr>
        <w:t xml:space="preserve">There was only one patient who had a complication </w:t>
      </w:r>
      <w:r w:rsidR="00645570" w:rsidRPr="00F73AEE">
        <w:rPr>
          <w:rFonts w:ascii="Times New Roman" w:hAnsi="Times New Roman" w:cs="Times New Roman"/>
          <w:sz w:val="20"/>
          <w:szCs w:val="20"/>
        </w:rPr>
        <w:t>(5.3%)</w:t>
      </w:r>
      <w:r w:rsidR="00645570">
        <w:rPr>
          <w:rFonts w:ascii="Times New Roman" w:hAnsi="Times New Roman" w:cs="Times New Roman"/>
          <w:sz w:val="20"/>
          <w:szCs w:val="20"/>
        </w:rPr>
        <w:t xml:space="preserve"> </w:t>
      </w:r>
      <w:r w:rsidRPr="00F73AEE">
        <w:rPr>
          <w:rFonts w:ascii="Times New Roman" w:hAnsi="Times New Roman" w:cs="Times New Roman"/>
          <w:sz w:val="20"/>
          <w:szCs w:val="20"/>
        </w:rPr>
        <w:t>and required partial removal of allograft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A45D9D">
        <w:rPr>
          <w:rFonts w:ascii="Times New Roman" w:hAnsi="Times New Roman" w:cs="Times New Roman"/>
          <w:sz w:val="20"/>
          <w:szCs w:val="20"/>
        </w:rPr>
        <w:t xml:space="preserve">The mean length of admission was 2 days. </w:t>
      </w:r>
      <w:r w:rsidR="00645570">
        <w:rPr>
          <w:rFonts w:ascii="Times New Roman" w:hAnsi="Times New Roman" w:cs="Times New Roman"/>
          <w:sz w:val="20"/>
          <w:szCs w:val="20"/>
        </w:rPr>
        <w:t>M</w:t>
      </w:r>
      <w:r w:rsidRPr="00A45D9D">
        <w:rPr>
          <w:rFonts w:ascii="Times New Roman" w:hAnsi="Times New Roman" w:cs="Times New Roman"/>
          <w:sz w:val="20"/>
          <w:szCs w:val="20"/>
        </w:rPr>
        <w:t>ean follow up time</w:t>
      </w:r>
      <w:r w:rsidR="00645570">
        <w:rPr>
          <w:rFonts w:ascii="Times New Roman" w:hAnsi="Times New Roman" w:cs="Times New Roman"/>
          <w:sz w:val="20"/>
          <w:szCs w:val="20"/>
        </w:rPr>
        <w:t xml:space="preserve"> of </w:t>
      </w:r>
      <w:r w:rsidRPr="00A45D9D">
        <w:rPr>
          <w:rFonts w:ascii="Times New Roman" w:hAnsi="Times New Roman" w:cs="Times New Roman"/>
          <w:sz w:val="20"/>
          <w:szCs w:val="20"/>
        </w:rPr>
        <w:t>21.5 months.</w:t>
      </w:r>
    </w:p>
    <w:p w14:paraId="4C270A94" w14:textId="638B867B" w:rsidR="00BE24F9" w:rsidRPr="004373DF" w:rsidRDefault="00BE24F9" w:rsidP="00BE2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A45D9D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Conclusions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r w:rsidRPr="004373DF">
        <w:rPr>
          <w:rFonts w:ascii="Times New Roman" w:hAnsi="Times New Roman" w:cs="Times New Roman"/>
          <w:color w:val="000000"/>
          <w:sz w:val="20"/>
          <w:szCs w:val="20"/>
          <w:lang w:val="en-US"/>
        </w:rPr>
        <w:t>HAC represents a safe option</w:t>
      </w:r>
      <w:r w:rsidR="00645570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when used correctly</w:t>
      </w:r>
      <w:r w:rsidRPr="004373DF">
        <w:rPr>
          <w:rFonts w:ascii="Times New Roman" w:hAnsi="Times New Roman" w:cs="Times New Roman"/>
          <w:color w:val="000000"/>
          <w:sz w:val="20"/>
          <w:szCs w:val="20"/>
          <w:lang w:val="en-US"/>
        </w:rPr>
        <w:t>, with low rates of complication and satisfactory cosmetic outcomes</w:t>
      </w:r>
      <w:r w:rsidR="00645570">
        <w:rPr>
          <w:rFonts w:ascii="Times New Roman" w:hAnsi="Times New Roman" w:cs="Times New Roman"/>
          <w:color w:val="000000"/>
          <w:sz w:val="20"/>
          <w:szCs w:val="20"/>
          <w:lang w:val="en-US"/>
        </w:rPr>
        <w:t>.</w:t>
      </w:r>
    </w:p>
    <w:p w14:paraId="10CDBB4A" w14:textId="77777777" w:rsidR="00BE24F9" w:rsidRPr="004F64C1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GB"/>
        </w:rPr>
      </w:pPr>
    </w:p>
    <w:p w14:paraId="3F96D276" w14:textId="77777777" w:rsidR="00BE24F9" w:rsidRPr="0036546C" w:rsidRDefault="00BE24F9" w:rsidP="00BE24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r w:rsidRPr="0036546C"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References</w:t>
      </w:r>
    </w:p>
    <w:p w14:paraId="1814C4C6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Taylor L, Tooth I. Craniosynostosis in NSW. NSW Public Health Bulletin. 1993;4(10):113-6.</w:t>
      </w:r>
    </w:p>
    <w:p w14:paraId="6FCD937A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2.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Persing JA. CME article: management considerations in the treatment of craniosynostosis. Plast Reconstr Surg. 2008;121(4):1-11.</w:t>
      </w:r>
    </w:p>
    <w:p w14:paraId="3C9FAE53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3.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Cohen MMM, Ruth E. Craniosynostosis: diagnosis, evaluation, and management. 2nd ed: New York: Oxford University Press; 2000. 454 p.</w:t>
      </w:r>
    </w:p>
    <w:p w14:paraId="54EF7B7F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4.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Zakhary GM, Montes DM, Woerner JE, Notarianni C, Ghali GE. Surgical correction of craniosynostosis. A review of 100 cases. J Craniomaxillofac Surg. 2014;42(8):1684-91.</w:t>
      </w:r>
    </w:p>
    <w:p w14:paraId="02618CB5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5.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Natghian H, Song M, Jayamohan J, Johnson D, Magdum S, Richards P, et al. Long-Term Results in Isolated Metopic Synostosis. Plastic and Reconstructive Surgery. 2018;142(4):509e-15e.</w:t>
      </w:r>
    </w:p>
    <w:p w14:paraId="735FBFDC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6.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van der Meulen J. Metopic synostosis. Child's Nervous System. 2012;28(9):1359-67.</w:t>
      </w:r>
    </w:p>
    <w:p w14:paraId="3B505F66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7.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F Ursitti TF, L Papetti, M Pagnoni, F Nicita, G Iannetti, A Spalice. Evaluation and management of nonsyndromic craniosynostosis. Acta Paediatrica. 2011;100(9):1185-94.</w:t>
      </w:r>
    </w:p>
    <w:p w14:paraId="15689C02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8.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Shimoji T, Tominaga D, Shimoji K, Miyajima M, Tasato K. Analysis of pre- and post-operative symptoms of patients with mild trigonocephaly using several developmental and psychological tests. Childs Nerv Syst. 2015;31(3):433-40.</w:t>
      </w:r>
    </w:p>
    <w:p w14:paraId="6935A4EF" w14:textId="77777777" w:rsidR="00BE24F9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9.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Taylor JA, Paliga JT, Wes AM, Tahiri Y, Goldstein JA, Whitaker LA, et al. A critical evaluation of long-term aesthetic outcomes of fronto-orbital advancement and cranial vault remodeling in nonsyndromic unicoronal craniosynostosis. Plast Reconstr Surg. 2015;135(1):220-31.</w:t>
      </w:r>
    </w:p>
    <w:p w14:paraId="4A05451B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AU"/>
        </w:rPr>
        <w:t xml:space="preserve">10. </w:t>
      </w:r>
      <w:r>
        <w:rPr>
          <w:rFonts w:ascii="Times New Roman" w:hAnsi="Times New Roman" w:cs="Times New Roman"/>
          <w:noProof/>
          <w:sz w:val="20"/>
          <w:szCs w:val="20"/>
          <w:lang w:val="en-AU"/>
        </w:rPr>
        <w:tab/>
      </w:r>
      <w:r w:rsidRPr="0036546C">
        <w:rPr>
          <w:rFonts w:ascii="Times New Roman" w:hAnsi="Times New Roman" w:cs="Times New Roman"/>
          <w:noProof/>
          <w:sz w:val="20"/>
          <w:szCs w:val="20"/>
          <w:lang w:val="en-AU"/>
        </w:rPr>
        <w:t>Greenberg BM, Schneider SJ. Trigonocephaly: surgical considerations and long term evaluation. J Craniofacial Surg 2006;17:528–535</w:t>
      </w:r>
    </w:p>
    <w:p w14:paraId="4739064F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  <w:lang w:val="en-AU"/>
        </w:rPr>
      </w:pPr>
      <w:r>
        <w:rPr>
          <w:rFonts w:ascii="Times New Roman" w:hAnsi="Times New Roman" w:cs="Times New Roman"/>
          <w:noProof/>
          <w:sz w:val="20"/>
          <w:szCs w:val="20"/>
          <w:lang w:val="en-AU"/>
        </w:rPr>
        <w:t xml:space="preserve">11. </w:t>
      </w:r>
      <w:r>
        <w:rPr>
          <w:rFonts w:ascii="Times New Roman" w:hAnsi="Times New Roman" w:cs="Times New Roman"/>
          <w:noProof/>
          <w:sz w:val="20"/>
          <w:szCs w:val="20"/>
          <w:lang w:val="en-AU"/>
        </w:rPr>
        <w:tab/>
      </w:r>
      <w:r w:rsidRPr="0036546C">
        <w:rPr>
          <w:rFonts w:ascii="Times New Roman" w:hAnsi="Times New Roman" w:cs="Times New Roman"/>
          <w:noProof/>
          <w:sz w:val="20"/>
          <w:szCs w:val="20"/>
          <w:lang w:val="en-AU"/>
        </w:rPr>
        <w:t xml:space="preserve">Seruya M, Oh AK, Boyajian MJ, Posnick JC, Myseros JS, Yaun AL, Keating RF. Long-Term Outcomes of Primary Craniofacial Reconstruction for Craniosynostosis: A 12-Year Experience. </w:t>
      </w:r>
      <w:r w:rsidRPr="0036546C">
        <w:rPr>
          <w:rFonts w:ascii="Times New Roman" w:hAnsi="Times New Roman" w:cs="Times New Roman"/>
          <w:i/>
          <w:iCs/>
          <w:noProof/>
          <w:sz w:val="20"/>
          <w:szCs w:val="20"/>
          <w:lang w:val="en-AU"/>
        </w:rPr>
        <w:t xml:space="preserve">Plast Reconstr Surg </w:t>
      </w:r>
      <w:r w:rsidRPr="0036546C">
        <w:rPr>
          <w:rFonts w:ascii="Times New Roman" w:hAnsi="Times New Roman" w:cs="Times New Roman"/>
          <w:noProof/>
          <w:sz w:val="20"/>
          <w:szCs w:val="20"/>
          <w:lang w:val="en-AU"/>
        </w:rPr>
        <w:t>2011;127(6):2397-2406.</w:t>
      </w:r>
    </w:p>
    <w:p w14:paraId="71B3D4F2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2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P T. [Total facial osteotomy. Crouzon's syndrome, Apert's syndrome: oxycephaly, scaphocephaly, turricephaly]. Ann Chir Plast. 1967;12(4):273-86.</w:t>
      </w:r>
    </w:p>
    <w:p w14:paraId="1AFD365C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3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van der Meulen JJNM, Willemsen J, van der Vlugt J, Nazir PRN, Hilling D, Mathijssen IMJ, et al. On the Origin of Bitemporal Hollowing. Journal of Craniofacial Surgery. 2009;20(3):752-6.</w:t>
      </w:r>
    </w:p>
    <w:p w14:paraId="7F1B375E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4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Hagmarker L, Söfteland MB, Maltese G, Tarnow P, Wikberg E, Kölby L, et al. A new quantitative image-based method for evaluation of bony temporal hollowing in metopic synostosis. Journal of Plastic Surgery and Hand Surgery. 2016;50(6):343-8.</w:t>
      </w:r>
    </w:p>
    <w:p w14:paraId="52280A15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lastRenderedPageBreak/>
        <w:t>1</w:t>
      </w:r>
      <w:r>
        <w:rPr>
          <w:rFonts w:ascii="Times New Roman" w:hAnsi="Times New Roman" w:cs="Times New Roman"/>
          <w:noProof/>
          <w:sz w:val="20"/>
          <w:szCs w:val="20"/>
        </w:rPr>
        <w:t>5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Vaca EE, Purnell CA, Gosain AK, Alghoul MS. Postoperative temporal hollowing: Is there a surgical approach that prevents this complication? A systematic review and anatomic illustration. Journal of Plastic, Reconstructive &amp; Aesthetic Surgery. 2017;70(3):401-15.</w:t>
      </w:r>
    </w:p>
    <w:p w14:paraId="6517A80F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6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Goodrich JT, Sandler AL, Tepper O. A review of reconstructive materials for use in craniofacial surgery bone fixation materials, bone substitutes, and distractors. Childs Nerv Syst. 2012;28(9):1577-88.</w:t>
      </w:r>
    </w:p>
    <w:p w14:paraId="57973EE2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7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McNichols CH, Hatef DA, Cole P, Hollier LH, Thornton JF. Contemporary Techniques for the Correction of Temporal Hollowing. J Craniofac Surg. 2012;23(3):e234-e8.</w:t>
      </w:r>
    </w:p>
    <w:p w14:paraId="60545278" w14:textId="77777777" w:rsidR="00BE24F9" w:rsidRPr="0036546C" w:rsidRDefault="00BE24F9" w:rsidP="00BE24F9">
      <w:pPr>
        <w:pStyle w:val="EndNoteBibliography"/>
        <w:rPr>
          <w:rFonts w:ascii="Times New Roman" w:hAnsi="Times New Roman" w:cs="Times New Roman"/>
          <w:noProof/>
          <w:sz w:val="20"/>
          <w:szCs w:val="20"/>
        </w:rPr>
      </w:pPr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8</w:t>
      </w:r>
      <w:r w:rsidRPr="0036546C">
        <w:rPr>
          <w:rFonts w:ascii="Times New Roman" w:hAnsi="Times New Roman" w:cs="Times New Roman"/>
          <w:noProof/>
          <w:sz w:val="20"/>
          <w:szCs w:val="20"/>
        </w:rPr>
        <w:t>.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  <w:t>Singh KA, Burstein FD, Williams JK. Use of hydroxyapatite cement in pediatric craniofacial reconstructive surgery: strategies for avoiding complications. J Craniofac Surg. 2010;21(4):1130-5.</w:t>
      </w:r>
    </w:p>
    <w:p w14:paraId="29D29324" w14:textId="71876EA7" w:rsidR="00D5291E" w:rsidRDefault="00BE24F9" w:rsidP="00BE24F9">
      <w:r w:rsidRPr="0036546C">
        <w:rPr>
          <w:rFonts w:ascii="Times New Roman" w:hAnsi="Times New Roman" w:cs="Times New Roman"/>
          <w:noProof/>
          <w:sz w:val="20"/>
          <w:szCs w:val="20"/>
        </w:rPr>
        <w:t>1</w:t>
      </w:r>
      <w:r>
        <w:rPr>
          <w:rFonts w:ascii="Times New Roman" w:hAnsi="Times New Roman" w:cs="Times New Roman"/>
          <w:noProof/>
          <w:sz w:val="20"/>
          <w:szCs w:val="20"/>
        </w:rPr>
        <w:t>9</w:t>
      </w:r>
      <w:r w:rsidRPr="0036546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36546C">
        <w:rPr>
          <w:rFonts w:ascii="Times New Roman" w:hAnsi="Times New Roman" w:cs="Times New Roman"/>
          <w:noProof/>
          <w:sz w:val="20"/>
          <w:szCs w:val="20"/>
        </w:rPr>
        <w:tab/>
      </w:r>
      <w:proofErr w:type="spellStart"/>
      <w:r w:rsidRPr="0036546C">
        <w:rPr>
          <w:rFonts w:ascii="Times New Roman" w:hAnsi="Times New Roman" w:cs="Times New Roman"/>
          <w:color w:val="000000"/>
          <w:sz w:val="20"/>
          <w:szCs w:val="20"/>
          <w:lang w:val="en-GB"/>
        </w:rPr>
        <w:t>Gosain</w:t>
      </w:r>
      <w:proofErr w:type="spellEnd"/>
      <w:r w:rsidRPr="0036546C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A. K. (1997). Hydroxyapatite cement paste cranioplasty for the treatment of temporal hollowing after cranial vault remodelling in a growing child. </w:t>
      </w:r>
      <w:r w:rsidRPr="0036546C">
        <w:rPr>
          <w:rFonts w:ascii="Times New Roman" w:hAnsi="Times New Roman" w:cs="Times New Roman"/>
          <w:i/>
          <w:iCs/>
          <w:color w:val="000000"/>
          <w:sz w:val="20"/>
          <w:szCs w:val="20"/>
          <w:lang w:val="en-GB"/>
        </w:rPr>
        <w:t>The Journal of Craniofacial Surgery, 8</w:t>
      </w:r>
      <w:r w:rsidRPr="0036546C">
        <w:rPr>
          <w:rFonts w:ascii="Times New Roman" w:hAnsi="Times New Roman" w:cs="Times New Roman"/>
          <w:color w:val="000000"/>
          <w:sz w:val="20"/>
          <w:szCs w:val="20"/>
          <w:lang w:val="en-GB"/>
        </w:rPr>
        <w:t>(6).</w:t>
      </w:r>
    </w:p>
    <w:sectPr w:rsidR="00D5291E" w:rsidSect="00A03FE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F9"/>
    <w:rsid w:val="000B5AD3"/>
    <w:rsid w:val="003077AA"/>
    <w:rsid w:val="00326667"/>
    <w:rsid w:val="00424ADB"/>
    <w:rsid w:val="00523DC0"/>
    <w:rsid w:val="006219C7"/>
    <w:rsid w:val="00645570"/>
    <w:rsid w:val="00795FC2"/>
    <w:rsid w:val="00964C6D"/>
    <w:rsid w:val="00A03FEB"/>
    <w:rsid w:val="00A44911"/>
    <w:rsid w:val="00B066A6"/>
    <w:rsid w:val="00B10716"/>
    <w:rsid w:val="00BE24F9"/>
    <w:rsid w:val="00BF47D8"/>
    <w:rsid w:val="00CC3171"/>
    <w:rsid w:val="00CD72CD"/>
    <w:rsid w:val="00D908A0"/>
    <w:rsid w:val="00DE27D5"/>
    <w:rsid w:val="00EB5CC6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8D9DCC"/>
  <w15:chartTrackingRefBased/>
  <w15:docId w15:val="{D151C54C-7241-394C-B003-11E63D77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E24F9"/>
    <w:pPr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E24F9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Brussius Coelho</dc:creator>
  <cp:keywords/>
  <dc:description/>
  <cp:lastModifiedBy>Marcio Brussius Coelho</cp:lastModifiedBy>
  <cp:revision>2</cp:revision>
  <dcterms:created xsi:type="dcterms:W3CDTF">2020-02-22T06:10:00Z</dcterms:created>
  <dcterms:modified xsi:type="dcterms:W3CDTF">2020-02-22T06:34:00Z</dcterms:modified>
</cp:coreProperties>
</file>